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039" w:rsidRDefault="00C56039" w:rsidP="0059320D">
      <w:pPr>
        <w:autoSpaceDE w:val="0"/>
        <w:autoSpaceDN w:val="0"/>
        <w:bidi/>
        <w:adjustRightInd w:val="0"/>
        <w:ind w:firstLine="720"/>
        <w:rPr>
          <w:rFonts w:ascii="Arabic Transparent" w:hAnsi="Arabic Transparent" w:cs="Arabic Transparent"/>
          <w:b/>
          <w:bCs/>
          <w:color w:val="000000"/>
          <w:sz w:val="32"/>
          <w:szCs w:val="32"/>
          <w:u w:val="single"/>
          <w:rtl/>
        </w:rPr>
      </w:pPr>
    </w:p>
    <w:tbl>
      <w:tblPr>
        <w:bidiVisual/>
        <w:tblW w:w="10710" w:type="dxa"/>
        <w:jc w:val="center"/>
        <w:tblLayout w:type="fixed"/>
        <w:tblLook w:val="00A0" w:firstRow="1" w:lastRow="0" w:firstColumn="1" w:lastColumn="0" w:noHBand="0" w:noVBand="0"/>
      </w:tblPr>
      <w:tblGrid>
        <w:gridCol w:w="5400"/>
        <w:gridCol w:w="270"/>
        <w:gridCol w:w="5040"/>
      </w:tblGrid>
      <w:tr w:rsidR="00C56039" w:rsidRPr="000B282C" w:rsidTr="00D63852">
        <w:trPr>
          <w:trHeight w:val="999"/>
          <w:jc w:val="center"/>
        </w:trPr>
        <w:tc>
          <w:tcPr>
            <w:tcW w:w="5400" w:type="dxa"/>
            <w:hideMark/>
          </w:tcPr>
          <w:p w:rsidR="00D63852" w:rsidRPr="00D63852" w:rsidRDefault="00D63852" w:rsidP="00D63852">
            <w:pPr>
              <w:bidi/>
              <w:spacing w:before="100" w:beforeAutospacing="1" w:after="100" w:afterAutospacing="1"/>
              <w:jc w:val="center"/>
              <w:rPr>
                <w:rFonts w:ascii="Arabic Transparent" w:hAnsi="Arabic Transparent" w:cs="Arabic Transparent"/>
                <w:b/>
                <w:bCs/>
                <w:color w:val="000000"/>
                <w:sz w:val="32"/>
                <w:szCs w:val="32"/>
                <w:u w:val="single"/>
                <w:rtl/>
              </w:rPr>
            </w:pPr>
            <w:r w:rsidRPr="00D63852">
              <w:rPr>
                <w:rFonts w:ascii="Arabic Transparent" w:hAnsi="Arabic Transparent" w:cs="Arabic Transparent" w:hint="cs"/>
                <w:b/>
                <w:bCs/>
                <w:color w:val="000000"/>
                <w:sz w:val="32"/>
                <w:szCs w:val="32"/>
                <w:u w:val="single"/>
                <w:rtl/>
              </w:rPr>
              <w:t>الموضوع: اجتماع الجمعية العامة غير العادية لشركة صناعات قطر</w:t>
            </w:r>
          </w:p>
        </w:tc>
        <w:tc>
          <w:tcPr>
            <w:tcW w:w="270" w:type="dxa"/>
          </w:tcPr>
          <w:p w:rsidR="00C56039" w:rsidRDefault="00C56039" w:rsidP="00C56039">
            <w:pPr>
              <w:autoSpaceDE w:val="0"/>
              <w:autoSpaceDN w:val="0"/>
              <w:bidi/>
              <w:adjustRightInd w:val="0"/>
              <w:spacing w:before="100" w:beforeAutospacing="1" w:after="100" w:afterAutospacing="1"/>
              <w:jc w:val="center"/>
              <w:rPr>
                <w:rFonts w:cs="Simplified Arabic"/>
                <w:b/>
                <w:bCs/>
                <w:color w:val="000000"/>
                <w:sz w:val="28"/>
                <w:szCs w:val="28"/>
                <w:u w:val="single"/>
                <w:rtl/>
                <w:lang w:bidi="ar-QA"/>
              </w:rPr>
            </w:pPr>
          </w:p>
        </w:tc>
        <w:tc>
          <w:tcPr>
            <w:tcW w:w="5040" w:type="dxa"/>
            <w:hideMark/>
          </w:tcPr>
          <w:p w:rsidR="00EC6E69" w:rsidRPr="00EC6E69" w:rsidRDefault="00EC6E69" w:rsidP="00EC6E69">
            <w:pPr>
              <w:spacing w:before="100" w:beforeAutospacing="1" w:after="100" w:afterAutospacing="1"/>
              <w:jc w:val="center"/>
              <w:rPr>
                <w:rFonts w:asciiTheme="minorBidi" w:hAnsiTheme="minorBidi" w:cstheme="minorBidi"/>
                <w:b/>
                <w:bCs/>
                <w:color w:val="000000"/>
                <w:sz w:val="26"/>
                <w:szCs w:val="26"/>
                <w:u w:val="single"/>
              </w:rPr>
            </w:pPr>
            <w:r w:rsidRPr="00EC6E69">
              <w:rPr>
                <w:rFonts w:asciiTheme="minorBidi" w:hAnsiTheme="minorBidi" w:cstheme="minorBidi"/>
                <w:b/>
                <w:bCs/>
                <w:color w:val="000000"/>
                <w:sz w:val="26"/>
                <w:szCs w:val="26"/>
                <w:u w:val="single"/>
              </w:rPr>
              <w:t>Subject: Industries Qatar Extraordinary General Assembly Meeting</w:t>
            </w:r>
          </w:p>
        </w:tc>
      </w:tr>
      <w:tr w:rsidR="00C56039" w:rsidRPr="003345BD" w:rsidTr="00AF0DD7">
        <w:trPr>
          <w:jc w:val="center"/>
        </w:trPr>
        <w:tc>
          <w:tcPr>
            <w:tcW w:w="5400" w:type="dxa"/>
          </w:tcPr>
          <w:p w:rsidR="00D63852" w:rsidRPr="003345BD" w:rsidRDefault="00D63852" w:rsidP="00D63852">
            <w:pPr>
              <w:pStyle w:val="MainText"/>
              <w:bidi/>
              <w:spacing w:before="100" w:beforeAutospacing="1" w:after="100" w:afterAutospacing="1" w:line="240" w:lineRule="auto"/>
              <w:rPr>
                <w:rFonts w:ascii="Arabic Transparent" w:eastAsia="Times New Roman" w:hAnsi="Arabic Transparent" w:cs="Arabic Transparent"/>
                <w:color w:val="000000"/>
                <w:sz w:val="30"/>
                <w:szCs w:val="30"/>
                <w:rtl/>
              </w:rPr>
            </w:pPr>
            <w:r w:rsidRPr="00D63852">
              <w:rPr>
                <w:rFonts w:ascii="Arabic Transparent" w:eastAsia="Times New Roman" w:hAnsi="Arabic Transparent" w:cs="Arabic Transparent" w:hint="cs"/>
                <w:color w:val="000000"/>
                <w:sz w:val="30"/>
                <w:szCs w:val="30"/>
                <w:rtl/>
              </w:rPr>
              <w:t>بالإشارة إلى الموضوع أعلاه، نود أن نُحيط سيادتكم علماً بأنه قد تم عقد اجتماع الجمعية العامة غير العادية لمساهمي شركة صناعات قطر إلكترونياً باستخدام تطبيق "</w:t>
            </w:r>
            <w:r w:rsidRPr="00D63852">
              <w:rPr>
                <w:rFonts w:ascii="Arabic Transparent" w:eastAsia="Times New Roman" w:hAnsi="Arabic Transparent" w:cs="Arabic Transparent"/>
                <w:color w:val="000000"/>
                <w:sz w:val="30"/>
                <w:szCs w:val="30"/>
              </w:rPr>
              <w:t>Zoom</w:t>
            </w:r>
            <w:r w:rsidRPr="00D63852">
              <w:rPr>
                <w:rFonts w:ascii="Arabic Transparent" w:eastAsia="Times New Roman" w:hAnsi="Arabic Transparent" w:cs="Arabic Transparent" w:hint="cs"/>
                <w:color w:val="000000"/>
                <w:sz w:val="30"/>
                <w:szCs w:val="30"/>
                <w:rtl/>
              </w:rPr>
              <w:t>"، وذلك يوم الأحد الموافق 13 سبتمبر 2020م، حيث تمت الموافقة على بنود جدول الأعمال التالي بيانه:</w:t>
            </w:r>
          </w:p>
          <w:p w:rsidR="00D63852" w:rsidRPr="00D63852" w:rsidRDefault="00D63852" w:rsidP="00D63852">
            <w:pPr>
              <w:pStyle w:val="MainText"/>
              <w:bidi/>
              <w:spacing w:before="100" w:beforeAutospacing="1" w:after="100" w:afterAutospacing="1" w:line="240" w:lineRule="auto"/>
              <w:rPr>
                <w:rFonts w:ascii="Arabic Transparent" w:eastAsia="Times New Roman" w:hAnsi="Arabic Transparent" w:cs="Arabic Transparent"/>
                <w:color w:val="000000"/>
                <w:sz w:val="30"/>
                <w:szCs w:val="30"/>
                <w:u w:val="single"/>
                <w:rtl/>
              </w:rPr>
            </w:pPr>
            <w:r w:rsidRPr="00D63852">
              <w:rPr>
                <w:rFonts w:ascii="Arabic Transparent" w:eastAsia="Times New Roman" w:hAnsi="Arabic Transparent" w:cs="Arabic Transparent" w:hint="cs"/>
                <w:color w:val="000000"/>
                <w:sz w:val="30"/>
                <w:szCs w:val="30"/>
                <w:u w:val="single"/>
                <w:rtl/>
              </w:rPr>
              <w:t>جدول أعمال اجتماع الجمعية العامة غير العادية:</w:t>
            </w:r>
          </w:p>
          <w:p w:rsidR="00D63852" w:rsidRPr="00D63852" w:rsidRDefault="00D63852" w:rsidP="00D63852">
            <w:pPr>
              <w:pStyle w:val="MainText"/>
              <w:numPr>
                <w:ilvl w:val="0"/>
                <w:numId w:val="18"/>
              </w:numPr>
              <w:bidi/>
              <w:spacing w:before="100" w:beforeAutospacing="1" w:after="100" w:afterAutospacing="1" w:line="240" w:lineRule="auto"/>
              <w:ind w:left="336" w:hanging="336"/>
              <w:rPr>
                <w:rFonts w:ascii="Arabic Transparent" w:eastAsia="Times New Roman" w:hAnsi="Arabic Transparent" w:cs="Arabic Transparent"/>
                <w:color w:val="000000"/>
                <w:sz w:val="30"/>
                <w:szCs w:val="30"/>
                <w:rtl/>
              </w:rPr>
            </w:pPr>
            <w:r w:rsidRPr="00D63852">
              <w:rPr>
                <w:rFonts w:ascii="Arabic Transparent" w:eastAsia="Times New Roman" w:hAnsi="Arabic Transparent" w:cs="Arabic Transparent" w:hint="cs"/>
                <w:color w:val="000000"/>
                <w:sz w:val="30"/>
                <w:szCs w:val="30"/>
                <w:rtl/>
              </w:rPr>
              <w:t>الموافقة على عملية شراء حصة قطر للبترول البالغة 25% في شركة قطر للأسمدة الكيماوية (قافكو) بقيمة تبلغ مليار دولار أمريكي.</w:t>
            </w:r>
          </w:p>
          <w:p w:rsidR="00D63852" w:rsidRPr="00D63852" w:rsidRDefault="00D63852" w:rsidP="00D63852">
            <w:pPr>
              <w:pStyle w:val="MainText"/>
              <w:numPr>
                <w:ilvl w:val="0"/>
                <w:numId w:val="18"/>
              </w:numPr>
              <w:bidi/>
              <w:spacing w:before="100" w:beforeAutospacing="1" w:after="100" w:afterAutospacing="1" w:line="240" w:lineRule="auto"/>
              <w:ind w:left="336" w:hanging="336"/>
              <w:rPr>
                <w:rFonts w:ascii="Arabic Transparent" w:eastAsia="Times New Roman" w:hAnsi="Arabic Transparent" w:cs="Arabic Transparent"/>
                <w:color w:val="000000"/>
                <w:sz w:val="30"/>
                <w:szCs w:val="30"/>
                <w:rtl/>
              </w:rPr>
            </w:pPr>
            <w:r w:rsidRPr="00D63852">
              <w:rPr>
                <w:rFonts w:ascii="Arabic Transparent" w:eastAsia="Times New Roman" w:hAnsi="Arabic Transparent" w:cs="Arabic Transparent" w:hint="cs"/>
                <w:color w:val="000000"/>
                <w:sz w:val="30"/>
                <w:szCs w:val="30"/>
                <w:rtl/>
              </w:rPr>
              <w:t>الموافقة على التعديلات المقترحة على النظام الأساسي للشركة فيما يتعلق بتشكيل مجلس إدارة الشركة. سيُعمل بالتشكيل الجديد لمجلس الإدارة اعتباراً من دورة المجلس القادمة والتي تبدأ من تاريخ انعقاد اجتماع الجمعية العامة للموافقة على البيانات المالية للسنة المالية المنتهية في 31 ديسمبر 2020. (مرفق بهذا الكتاب التعديلات التي تمت الموافقة عليها)</w:t>
            </w:r>
          </w:p>
          <w:p w:rsidR="00C56039" w:rsidRPr="00D63852" w:rsidRDefault="00D63852" w:rsidP="00D63852">
            <w:pPr>
              <w:pStyle w:val="MainText"/>
              <w:numPr>
                <w:ilvl w:val="0"/>
                <w:numId w:val="18"/>
              </w:numPr>
              <w:bidi/>
              <w:spacing w:before="100" w:beforeAutospacing="1" w:after="100" w:afterAutospacing="1" w:line="240" w:lineRule="auto"/>
              <w:ind w:left="336" w:hanging="336"/>
              <w:rPr>
                <w:rFonts w:ascii="Arabic Transparent" w:eastAsia="Times New Roman" w:hAnsi="Arabic Transparent" w:cs="Arabic Transparent"/>
                <w:color w:val="000000"/>
                <w:sz w:val="30"/>
                <w:szCs w:val="30"/>
                <w:rtl/>
              </w:rPr>
            </w:pPr>
            <w:r w:rsidRPr="00D63852">
              <w:rPr>
                <w:rFonts w:ascii="Arabic Transparent" w:eastAsia="Times New Roman" w:hAnsi="Arabic Transparent" w:cs="Arabic Transparent" w:hint="cs"/>
                <w:color w:val="000000"/>
                <w:sz w:val="30"/>
                <w:szCs w:val="30"/>
                <w:rtl/>
              </w:rPr>
              <w:t>تفويض مجلس إدارة صناعات قطر بالتفاوض والموافقة والتوقيع واتخاذ كافة الإجراءات اللازمة للتوصل إلى اتفاقية استراتيجية طويلة الأجل تنظم العلاقة ما بين قطر للبترول وصناعات قطر.</w:t>
            </w:r>
          </w:p>
        </w:tc>
        <w:tc>
          <w:tcPr>
            <w:tcW w:w="270" w:type="dxa"/>
          </w:tcPr>
          <w:p w:rsidR="00C56039" w:rsidRDefault="00C56039" w:rsidP="00C56039">
            <w:pPr>
              <w:autoSpaceDE w:val="0"/>
              <w:autoSpaceDN w:val="0"/>
              <w:bidi/>
              <w:adjustRightInd w:val="0"/>
              <w:spacing w:before="100" w:beforeAutospacing="1" w:after="100" w:afterAutospacing="1"/>
              <w:jc w:val="both"/>
              <w:rPr>
                <w:color w:val="000000" w:themeColor="text1"/>
                <w:sz w:val="28"/>
                <w:szCs w:val="28"/>
                <w:lang w:bidi="ar-QA"/>
              </w:rPr>
            </w:pPr>
          </w:p>
        </w:tc>
        <w:tc>
          <w:tcPr>
            <w:tcW w:w="5040" w:type="dxa"/>
          </w:tcPr>
          <w:p w:rsidR="002A150F" w:rsidRPr="002A150F" w:rsidRDefault="002A150F" w:rsidP="00547AC0">
            <w:pPr>
              <w:autoSpaceDE w:val="0"/>
              <w:autoSpaceDN w:val="0"/>
              <w:adjustRightInd w:val="0"/>
              <w:spacing w:before="100" w:beforeAutospacing="1" w:after="100" w:afterAutospacing="1"/>
              <w:jc w:val="both"/>
              <w:rPr>
                <w:rFonts w:asciiTheme="minorBidi" w:eastAsia="Calibri" w:hAnsiTheme="minorBidi" w:cstheme="minorBidi"/>
                <w:color w:val="000000"/>
                <w:sz w:val="24"/>
              </w:rPr>
            </w:pPr>
            <w:r w:rsidRPr="002A150F">
              <w:rPr>
                <w:rFonts w:asciiTheme="minorBidi" w:eastAsia="Calibri" w:hAnsiTheme="minorBidi" w:cstheme="minorBidi"/>
                <w:color w:val="000000"/>
                <w:sz w:val="24"/>
              </w:rPr>
              <w:t>With reference to the above subject, we would like to inform you that the Extraordinary General Assembly meeting of the shareholders of Industries Qatar (IQ) was convened on Sunday, September 13</w:t>
            </w:r>
            <w:r w:rsidRPr="00547AC0">
              <w:rPr>
                <w:rFonts w:asciiTheme="minorBidi" w:eastAsia="Calibri" w:hAnsiTheme="minorBidi" w:cstheme="minorBidi"/>
                <w:color w:val="000000"/>
                <w:sz w:val="24"/>
                <w:vertAlign w:val="superscript"/>
              </w:rPr>
              <w:t>th</w:t>
            </w:r>
            <w:bookmarkStart w:id="0" w:name="_GoBack"/>
            <w:bookmarkEnd w:id="0"/>
            <w:r w:rsidRPr="002A150F">
              <w:rPr>
                <w:rFonts w:asciiTheme="minorBidi" w:eastAsia="Calibri" w:hAnsiTheme="minorBidi" w:cstheme="minorBidi"/>
                <w:color w:val="000000"/>
                <w:sz w:val="24"/>
              </w:rPr>
              <w:t>, 2020 electronically using Zoom application platform and approved the following agenda items:</w:t>
            </w:r>
          </w:p>
          <w:p w:rsidR="002A150F" w:rsidRPr="002A150F" w:rsidRDefault="002A150F" w:rsidP="002A150F">
            <w:pPr>
              <w:autoSpaceDE w:val="0"/>
              <w:autoSpaceDN w:val="0"/>
              <w:adjustRightInd w:val="0"/>
              <w:spacing w:before="100" w:beforeAutospacing="1" w:after="100" w:afterAutospacing="1"/>
              <w:jc w:val="both"/>
              <w:rPr>
                <w:rFonts w:asciiTheme="minorBidi" w:hAnsiTheme="minorBidi" w:cstheme="minorBidi"/>
                <w:color w:val="000000"/>
                <w:sz w:val="24"/>
                <w:u w:val="single"/>
              </w:rPr>
            </w:pPr>
            <w:r w:rsidRPr="002A150F">
              <w:rPr>
                <w:rFonts w:asciiTheme="minorBidi" w:hAnsiTheme="minorBidi" w:cstheme="minorBidi"/>
                <w:color w:val="000000"/>
                <w:sz w:val="24"/>
                <w:u w:val="single"/>
              </w:rPr>
              <w:t>The agenda for the Extraordinary General Assembly Meeting:</w:t>
            </w:r>
          </w:p>
          <w:p w:rsidR="002A150F" w:rsidRPr="002A150F" w:rsidRDefault="002A150F" w:rsidP="002A150F">
            <w:pPr>
              <w:numPr>
                <w:ilvl w:val="0"/>
                <w:numId w:val="17"/>
              </w:numPr>
              <w:spacing w:before="100" w:beforeAutospacing="1" w:after="120"/>
              <w:jc w:val="both"/>
              <w:rPr>
                <w:rFonts w:asciiTheme="minorBidi" w:hAnsiTheme="minorBidi" w:cstheme="minorBidi"/>
                <w:color w:val="000000"/>
                <w:sz w:val="24"/>
              </w:rPr>
            </w:pPr>
            <w:r w:rsidRPr="002A150F">
              <w:rPr>
                <w:rFonts w:asciiTheme="minorBidi" w:hAnsiTheme="minorBidi" w:cstheme="minorBidi"/>
                <w:color w:val="000000"/>
                <w:sz w:val="24"/>
              </w:rPr>
              <w:t>Approve the purchase of the 25% stake in Qatar Fertiliser Company (QAFCO) from Qatar Petroleum for a purchase consideration of USD 1.0 billion.</w:t>
            </w:r>
          </w:p>
          <w:p w:rsidR="002A150F" w:rsidRPr="002A150F" w:rsidRDefault="002A150F" w:rsidP="002A150F">
            <w:pPr>
              <w:numPr>
                <w:ilvl w:val="0"/>
                <w:numId w:val="17"/>
              </w:numPr>
              <w:spacing w:before="100" w:beforeAutospacing="1" w:after="120"/>
              <w:jc w:val="both"/>
              <w:rPr>
                <w:rFonts w:asciiTheme="minorBidi" w:hAnsiTheme="minorBidi" w:cstheme="minorBidi"/>
                <w:color w:val="000000"/>
                <w:sz w:val="24"/>
              </w:rPr>
            </w:pPr>
            <w:r w:rsidRPr="002A150F">
              <w:rPr>
                <w:rFonts w:asciiTheme="minorBidi" w:hAnsiTheme="minorBidi" w:cstheme="minorBidi"/>
                <w:color w:val="000000"/>
                <w:sz w:val="24"/>
              </w:rPr>
              <w:t>Approved the proposed amendments to the Company’s Articles of Association concerning the constitution of the Company’s Board of Directors, as attached to this letter. The new composition of the Board of Directors shall come into effect from the upcoming term of the Board that will start from the date of holding the General Assembly meeting to approve the financial statements of the financial year ending 31 December 2020.</w:t>
            </w:r>
          </w:p>
          <w:p w:rsidR="00C56039" w:rsidRPr="002A150F" w:rsidRDefault="002A150F" w:rsidP="002A150F">
            <w:pPr>
              <w:numPr>
                <w:ilvl w:val="0"/>
                <w:numId w:val="17"/>
              </w:numPr>
              <w:spacing w:before="100" w:beforeAutospacing="1" w:after="120"/>
              <w:jc w:val="both"/>
              <w:rPr>
                <w:rFonts w:asciiTheme="minorBidi" w:hAnsiTheme="minorBidi" w:cstheme="minorBidi"/>
                <w:color w:val="000000"/>
                <w:sz w:val="24"/>
              </w:rPr>
            </w:pPr>
            <w:r w:rsidRPr="002A150F">
              <w:rPr>
                <w:rFonts w:asciiTheme="minorBidi" w:hAnsiTheme="minorBidi" w:cstheme="minorBidi"/>
                <w:color w:val="000000"/>
                <w:sz w:val="24"/>
              </w:rPr>
              <w:t>Delegated IQ’s Board of Directors to negotiate, approve, sign and take all actions necessary to finalize a long-term strategic agreement regulating the relationship between Qatar Petroleum and IQ.</w:t>
            </w:r>
          </w:p>
        </w:tc>
      </w:tr>
    </w:tbl>
    <w:p w:rsidR="006F30E6" w:rsidRDefault="006F30E6" w:rsidP="00C56039">
      <w:pPr>
        <w:autoSpaceDE w:val="0"/>
        <w:autoSpaceDN w:val="0"/>
        <w:bidi/>
        <w:adjustRightInd w:val="0"/>
        <w:ind w:firstLine="720"/>
        <w:rPr>
          <w:rFonts w:ascii="Simplified Arabic" w:hAnsi="Simplified Arabic" w:cs="Arabic Transparent"/>
          <w:color w:val="000000"/>
          <w:sz w:val="30"/>
          <w:szCs w:val="30"/>
          <w:rtl/>
          <w:lang w:bidi="ar-QA"/>
        </w:rPr>
      </w:pPr>
      <w:r>
        <w:rPr>
          <w:rFonts w:ascii="Simplified Arabic" w:hAnsi="Simplified Arabic" w:cs="Arabic Transparent"/>
          <w:color w:val="000000"/>
          <w:sz w:val="30"/>
          <w:szCs w:val="30"/>
          <w:rtl/>
        </w:rPr>
        <w:tab/>
      </w:r>
    </w:p>
    <w:p w:rsidR="002A150F" w:rsidRDefault="007949DF" w:rsidP="00465905">
      <w:pPr>
        <w:tabs>
          <w:tab w:val="left" w:pos="427"/>
        </w:tabs>
        <w:bidi/>
        <w:jc w:val="lowKashida"/>
        <w:rPr>
          <w:rFonts w:ascii="Arabic Transparent" w:hAnsi="Arabic Transparent" w:cs="Arabic Transparent"/>
          <w:sz w:val="24"/>
          <w:lang w:bidi="ar-QA"/>
        </w:rPr>
      </w:pPr>
      <w:r w:rsidRPr="003B1FBF">
        <w:rPr>
          <w:rFonts w:ascii="Simplified Arabic" w:hAnsi="Simplified Arabic" w:cs="Arabic Transparent"/>
          <w:color w:val="000000"/>
          <w:sz w:val="30"/>
          <w:szCs w:val="30"/>
          <w:rtl/>
        </w:rPr>
        <w:tab/>
      </w:r>
    </w:p>
    <w:p w:rsidR="002A150F" w:rsidRDefault="002A150F">
      <w:pPr>
        <w:spacing w:after="200" w:line="276" w:lineRule="auto"/>
        <w:rPr>
          <w:rFonts w:ascii="Arabic Transparent" w:hAnsi="Arabic Transparent" w:cs="Arabic Transparent"/>
          <w:sz w:val="24"/>
          <w:lang w:bidi="ar-QA"/>
        </w:rPr>
      </w:pPr>
      <w:r>
        <w:rPr>
          <w:rFonts w:ascii="Arabic Transparent" w:hAnsi="Arabic Transparent" w:cs="Arabic Transparent"/>
          <w:sz w:val="24"/>
          <w:lang w:bidi="ar-QA"/>
        </w:rPr>
        <w:br w:type="page"/>
      </w:r>
    </w:p>
    <w:tbl>
      <w:tblPr>
        <w:tblStyle w:val="TableGrid"/>
        <w:tblW w:w="0" w:type="auto"/>
        <w:tblInd w:w="0" w:type="dxa"/>
        <w:tblLook w:val="04A0" w:firstRow="1" w:lastRow="0" w:firstColumn="1" w:lastColumn="0" w:noHBand="0" w:noVBand="1"/>
      </w:tblPr>
      <w:tblGrid>
        <w:gridCol w:w="4945"/>
        <w:gridCol w:w="4405"/>
      </w:tblGrid>
      <w:tr w:rsidR="002A150F" w:rsidTr="002A150F">
        <w:tc>
          <w:tcPr>
            <w:tcW w:w="4945" w:type="dxa"/>
            <w:tcBorders>
              <w:top w:val="nil"/>
              <w:left w:val="nil"/>
              <w:bottom w:val="nil"/>
              <w:right w:val="nil"/>
            </w:tcBorders>
            <w:hideMark/>
          </w:tcPr>
          <w:p w:rsidR="002A150F" w:rsidRDefault="002A150F">
            <w:pPr>
              <w:jc w:val="both"/>
              <w:rPr>
                <w:rFonts w:asciiTheme="minorBidi" w:hAnsiTheme="minorBidi" w:cstheme="minorBidi"/>
                <w:color w:val="000000"/>
                <w:szCs w:val="22"/>
                <w:u w:val="single"/>
              </w:rPr>
            </w:pPr>
            <w:r>
              <w:rPr>
                <w:rFonts w:asciiTheme="minorBidi" w:hAnsiTheme="minorBidi" w:cstheme="minorBidi"/>
                <w:color w:val="000000"/>
                <w:szCs w:val="22"/>
                <w:u w:val="single"/>
              </w:rPr>
              <w:lastRenderedPageBreak/>
              <w:t>Proposed Amendments to the Company’s Articles of Association</w:t>
            </w:r>
          </w:p>
        </w:tc>
        <w:tc>
          <w:tcPr>
            <w:tcW w:w="4405" w:type="dxa"/>
            <w:tcBorders>
              <w:top w:val="nil"/>
              <w:left w:val="nil"/>
              <w:bottom w:val="nil"/>
              <w:right w:val="nil"/>
            </w:tcBorders>
            <w:hideMark/>
          </w:tcPr>
          <w:p w:rsidR="002A150F" w:rsidRDefault="002A150F" w:rsidP="002A150F">
            <w:pPr>
              <w:jc w:val="right"/>
              <w:rPr>
                <w:rFonts w:asciiTheme="minorBidi" w:hAnsiTheme="minorBidi" w:cstheme="minorBidi"/>
                <w:color w:val="000000"/>
                <w:szCs w:val="22"/>
                <w:u w:val="single"/>
              </w:rPr>
            </w:pPr>
            <w:r w:rsidRPr="00A276B9">
              <w:rPr>
                <w:rFonts w:asciiTheme="majorBidi" w:hAnsiTheme="majorBidi" w:cstheme="majorBidi"/>
                <w:szCs w:val="22"/>
                <w:u w:val="single"/>
                <w:rtl/>
                <w:lang w:bidi="ar-QA"/>
              </w:rPr>
              <w:t>التعديلات المقترحة على النظام الأساسي للشركة</w:t>
            </w:r>
          </w:p>
        </w:tc>
      </w:tr>
    </w:tbl>
    <w:p w:rsidR="002A150F" w:rsidRDefault="002A150F" w:rsidP="002A150F">
      <w:pPr>
        <w:jc w:val="both"/>
        <w:rPr>
          <w:rFonts w:asciiTheme="minorBidi" w:hAnsiTheme="minorBidi" w:cstheme="minorBidi"/>
          <w:color w:val="000000"/>
          <w:szCs w:val="22"/>
          <w:u w:val="single"/>
        </w:rPr>
      </w:pPr>
    </w:p>
    <w:tbl>
      <w:tblPr>
        <w:tblStyle w:val="TableGrid"/>
        <w:tblW w:w="9355" w:type="dxa"/>
        <w:tblInd w:w="-5" w:type="dxa"/>
        <w:tblLook w:val="04A0" w:firstRow="1" w:lastRow="0" w:firstColumn="1" w:lastColumn="0" w:noHBand="0" w:noVBand="1"/>
      </w:tblPr>
      <w:tblGrid>
        <w:gridCol w:w="4950"/>
        <w:gridCol w:w="4405"/>
      </w:tblGrid>
      <w:tr w:rsidR="002A150F" w:rsidTr="002A150F">
        <w:tc>
          <w:tcPr>
            <w:tcW w:w="4950" w:type="dxa"/>
            <w:tcBorders>
              <w:top w:val="single" w:sz="4" w:space="0" w:color="auto"/>
              <w:left w:val="single" w:sz="4" w:space="0" w:color="auto"/>
              <w:bottom w:val="single" w:sz="4" w:space="0" w:color="auto"/>
              <w:right w:val="single" w:sz="4" w:space="0" w:color="auto"/>
            </w:tcBorders>
            <w:hideMark/>
          </w:tcPr>
          <w:p w:rsidR="002A150F" w:rsidRPr="002A150F" w:rsidRDefault="002A150F" w:rsidP="002A150F">
            <w:pPr>
              <w:pStyle w:val="Heading1"/>
              <w:spacing w:before="0" w:line="240" w:lineRule="exact"/>
              <w:outlineLvl w:val="0"/>
              <w:rPr>
                <w:rFonts w:asciiTheme="minorBidi" w:eastAsiaTheme="minorHAnsi" w:hAnsiTheme="minorBidi" w:cstheme="minorBidi"/>
                <w:b/>
                <w:color w:val="auto"/>
                <w:sz w:val="22"/>
                <w:szCs w:val="22"/>
              </w:rPr>
            </w:pPr>
            <w:bookmarkStart w:id="1" w:name="_Toc35927027"/>
            <w:bookmarkStart w:id="2" w:name="_Ref35071934"/>
            <w:bookmarkStart w:id="3" w:name="_Toc505587206"/>
            <w:r w:rsidRPr="002A150F">
              <w:rPr>
                <w:rFonts w:asciiTheme="minorBidi" w:eastAsiaTheme="minorHAnsi" w:hAnsiTheme="minorBidi"/>
                <w:b/>
                <w:color w:val="auto"/>
                <w:sz w:val="22"/>
                <w:szCs w:val="22"/>
              </w:rPr>
              <w:t xml:space="preserve">Article (22) </w:t>
            </w:r>
            <w:bookmarkEnd w:id="1"/>
            <w:bookmarkEnd w:id="2"/>
            <w:bookmarkEnd w:id="3"/>
            <w:r w:rsidRPr="002A150F">
              <w:rPr>
                <w:rFonts w:asciiTheme="minorBidi" w:eastAsiaTheme="minorHAnsi" w:hAnsiTheme="minorBidi"/>
                <w:b/>
                <w:color w:val="auto"/>
                <w:sz w:val="22"/>
                <w:szCs w:val="22"/>
              </w:rPr>
              <w:t>COMPOSITION OF THE BOARD</w:t>
            </w:r>
          </w:p>
        </w:tc>
        <w:tc>
          <w:tcPr>
            <w:tcW w:w="4405" w:type="dxa"/>
            <w:tcBorders>
              <w:top w:val="single" w:sz="4" w:space="0" w:color="auto"/>
              <w:left w:val="single" w:sz="4" w:space="0" w:color="auto"/>
              <w:bottom w:val="single" w:sz="4" w:space="0" w:color="auto"/>
              <w:right w:val="single" w:sz="4" w:space="0" w:color="auto"/>
            </w:tcBorders>
          </w:tcPr>
          <w:p w:rsidR="002A150F" w:rsidRPr="002A150F" w:rsidRDefault="002A150F" w:rsidP="002A150F">
            <w:pPr>
              <w:pStyle w:val="Heading1"/>
              <w:bidi/>
              <w:spacing w:before="0" w:line="240" w:lineRule="exact"/>
              <w:outlineLvl w:val="0"/>
              <w:rPr>
                <w:rFonts w:asciiTheme="majorBidi" w:hAnsiTheme="majorBidi"/>
                <w:b/>
                <w:color w:val="auto"/>
                <w:sz w:val="22"/>
                <w:szCs w:val="22"/>
              </w:rPr>
            </w:pPr>
            <w:r w:rsidRPr="002A150F">
              <w:rPr>
                <w:rFonts w:asciiTheme="majorBidi" w:hAnsiTheme="majorBidi"/>
                <w:b/>
                <w:color w:val="auto"/>
                <w:sz w:val="22"/>
                <w:szCs w:val="22"/>
                <w:rtl/>
              </w:rPr>
              <w:t>المادة (22) تشكيل مجلس الإدارة</w:t>
            </w:r>
          </w:p>
        </w:tc>
      </w:tr>
      <w:tr w:rsidR="002A150F" w:rsidTr="002A150F">
        <w:tc>
          <w:tcPr>
            <w:tcW w:w="4950" w:type="dxa"/>
            <w:tcBorders>
              <w:top w:val="single" w:sz="4" w:space="0" w:color="auto"/>
              <w:left w:val="single" w:sz="4" w:space="0" w:color="auto"/>
              <w:bottom w:val="single" w:sz="4" w:space="0" w:color="auto"/>
              <w:right w:val="single" w:sz="4" w:space="0" w:color="auto"/>
            </w:tcBorders>
            <w:hideMark/>
          </w:tcPr>
          <w:p w:rsidR="002A150F" w:rsidRDefault="002A150F" w:rsidP="002A150F">
            <w:pPr>
              <w:spacing w:line="240" w:lineRule="exact"/>
              <w:jc w:val="both"/>
              <w:rPr>
                <w:rFonts w:asciiTheme="minorBidi" w:hAnsiTheme="minorBidi"/>
                <w:b/>
                <w:bCs/>
                <w:szCs w:val="22"/>
                <w:lang w:bidi="ar-AE"/>
              </w:rPr>
            </w:pPr>
            <w:r>
              <w:rPr>
                <w:rFonts w:asciiTheme="minorBidi" w:hAnsiTheme="minorBidi"/>
                <w:b/>
                <w:bCs/>
                <w:szCs w:val="22"/>
                <w:lang w:bidi="ar-AE"/>
              </w:rPr>
              <w:t>Former Article reads as follows:</w:t>
            </w:r>
          </w:p>
          <w:p w:rsidR="002A150F" w:rsidRDefault="002A150F" w:rsidP="002A150F">
            <w:pPr>
              <w:pStyle w:val="Heading3"/>
              <w:spacing w:line="240" w:lineRule="exact"/>
              <w:jc w:val="both"/>
              <w:outlineLvl w:val="2"/>
              <w:rPr>
                <w:rFonts w:asciiTheme="minorBidi" w:hAnsiTheme="minorBidi" w:cstheme="minorBidi"/>
                <w:color w:val="auto"/>
                <w:sz w:val="22"/>
                <w:szCs w:val="22"/>
                <w:lang w:bidi="ar-AE"/>
              </w:rPr>
            </w:pPr>
            <w:r>
              <w:rPr>
                <w:rFonts w:asciiTheme="minorBidi" w:hAnsiTheme="minorBidi" w:cstheme="minorBidi"/>
                <w:color w:val="auto"/>
                <w:kern w:val="2"/>
                <w:sz w:val="22"/>
                <w:szCs w:val="22"/>
              </w:rPr>
              <w:t xml:space="preserve">(22-1) </w:t>
            </w:r>
            <w:r>
              <w:rPr>
                <w:rFonts w:asciiTheme="minorBidi" w:hAnsiTheme="minorBidi" w:cstheme="minorBidi"/>
                <w:color w:val="auto"/>
                <w:sz w:val="22"/>
                <w:szCs w:val="22"/>
                <w:lang w:bidi="ar-AE"/>
              </w:rPr>
              <w:t>The Board shall consist of up to eight Directors, all of whom may be appointed by the Special Shareholder without the need for approval at a General Assembly.</w:t>
            </w:r>
          </w:p>
        </w:tc>
        <w:tc>
          <w:tcPr>
            <w:tcW w:w="4405" w:type="dxa"/>
            <w:tcBorders>
              <w:top w:val="single" w:sz="4" w:space="0" w:color="auto"/>
              <w:left w:val="single" w:sz="4" w:space="0" w:color="auto"/>
              <w:bottom w:val="single" w:sz="4" w:space="0" w:color="auto"/>
              <w:right w:val="single" w:sz="4" w:space="0" w:color="auto"/>
            </w:tcBorders>
          </w:tcPr>
          <w:p w:rsidR="002A150F" w:rsidRPr="006D348B" w:rsidRDefault="002A150F" w:rsidP="002A150F">
            <w:pPr>
              <w:bidi/>
              <w:spacing w:line="240" w:lineRule="exact"/>
              <w:jc w:val="both"/>
              <w:rPr>
                <w:rFonts w:asciiTheme="majorBidi" w:hAnsiTheme="majorBidi" w:cstheme="majorBidi"/>
                <w:b/>
                <w:bCs/>
                <w:szCs w:val="22"/>
                <w:rtl/>
              </w:rPr>
            </w:pPr>
            <w:r w:rsidRPr="006D348B">
              <w:rPr>
                <w:rFonts w:asciiTheme="majorBidi" w:hAnsiTheme="majorBidi" w:cstheme="majorBidi"/>
                <w:b/>
                <w:bCs/>
                <w:szCs w:val="22"/>
                <w:rtl/>
              </w:rPr>
              <w:t>قبل التعديل:</w:t>
            </w:r>
          </w:p>
          <w:p w:rsidR="002A150F" w:rsidRPr="006D348B" w:rsidRDefault="002A150F" w:rsidP="002A150F">
            <w:pPr>
              <w:pStyle w:val="Heading3"/>
              <w:bidi/>
              <w:spacing w:line="240" w:lineRule="exact"/>
              <w:jc w:val="both"/>
              <w:outlineLvl w:val="2"/>
              <w:rPr>
                <w:rFonts w:asciiTheme="majorBidi" w:hAnsiTheme="majorBidi"/>
                <w:color w:val="auto"/>
                <w:sz w:val="22"/>
                <w:szCs w:val="22"/>
                <w:rtl/>
              </w:rPr>
            </w:pPr>
            <w:r w:rsidRPr="006D348B">
              <w:rPr>
                <w:rFonts w:asciiTheme="majorBidi" w:hAnsiTheme="majorBidi"/>
                <w:color w:val="auto"/>
                <w:sz w:val="22"/>
                <w:szCs w:val="22"/>
                <w:rtl/>
              </w:rPr>
              <w:t>(22-1) يتشكل مجلس الإدارة من أعضاء يصل عددهم حتى ثمانية أعضاء، يحق للمساهم الخاص أن يعينهم جميعاً بدون الحاجة الى موافقة الجمعية العامة.</w:t>
            </w:r>
          </w:p>
        </w:tc>
      </w:tr>
      <w:tr w:rsidR="002A150F" w:rsidTr="002A150F">
        <w:tc>
          <w:tcPr>
            <w:tcW w:w="4950" w:type="dxa"/>
            <w:tcBorders>
              <w:top w:val="single" w:sz="4" w:space="0" w:color="auto"/>
              <w:left w:val="single" w:sz="4" w:space="0" w:color="auto"/>
              <w:bottom w:val="single" w:sz="4" w:space="0" w:color="auto"/>
              <w:right w:val="single" w:sz="4" w:space="0" w:color="auto"/>
            </w:tcBorders>
            <w:hideMark/>
          </w:tcPr>
          <w:p w:rsidR="002A150F" w:rsidRDefault="002A150F" w:rsidP="002A150F">
            <w:pPr>
              <w:spacing w:line="240" w:lineRule="exact"/>
              <w:jc w:val="both"/>
              <w:rPr>
                <w:rFonts w:asciiTheme="minorBidi" w:hAnsiTheme="minorBidi"/>
                <w:b/>
                <w:bCs/>
                <w:szCs w:val="22"/>
                <w:rtl/>
                <w:lang w:bidi="ar-AE"/>
              </w:rPr>
            </w:pPr>
            <w:r>
              <w:rPr>
                <w:rFonts w:asciiTheme="minorBidi" w:hAnsiTheme="minorBidi"/>
                <w:b/>
                <w:bCs/>
                <w:szCs w:val="22"/>
                <w:lang w:bidi="ar-AE"/>
              </w:rPr>
              <w:t>Amended Article reads as follows:</w:t>
            </w:r>
          </w:p>
          <w:p w:rsidR="002A150F" w:rsidRDefault="002A150F" w:rsidP="002A150F">
            <w:pPr>
              <w:pStyle w:val="Heading3"/>
              <w:spacing w:line="240" w:lineRule="exact"/>
              <w:jc w:val="both"/>
              <w:outlineLvl w:val="2"/>
              <w:rPr>
                <w:rFonts w:asciiTheme="minorBidi" w:hAnsiTheme="minorBidi" w:cstheme="minorBidi"/>
                <w:color w:val="auto"/>
                <w:sz w:val="22"/>
                <w:szCs w:val="22"/>
              </w:rPr>
            </w:pPr>
            <w:r>
              <w:rPr>
                <w:rFonts w:asciiTheme="minorBidi" w:hAnsiTheme="minorBidi" w:cstheme="minorBidi"/>
                <w:color w:val="auto"/>
                <w:kern w:val="2"/>
                <w:sz w:val="22"/>
                <w:szCs w:val="22"/>
              </w:rPr>
              <w:t xml:space="preserve">(22-1) </w:t>
            </w:r>
            <w:r>
              <w:rPr>
                <w:rFonts w:asciiTheme="minorBidi" w:hAnsiTheme="minorBidi" w:cstheme="minorBidi"/>
                <w:color w:val="auto"/>
                <w:sz w:val="22"/>
                <w:szCs w:val="22"/>
                <w:lang w:bidi="ar-AE"/>
              </w:rPr>
              <w:t>The Board shall consist of eight (8) Directors, seven (7) of whom are appointed by the Special Shareholder, provided that the Chairman and the Vice Chairman are amongst them. One (1) Director shall be appointed by the General Retirement and Social Insurance Authority.</w:t>
            </w:r>
          </w:p>
        </w:tc>
        <w:tc>
          <w:tcPr>
            <w:tcW w:w="4405" w:type="dxa"/>
            <w:tcBorders>
              <w:top w:val="single" w:sz="4" w:space="0" w:color="auto"/>
              <w:left w:val="single" w:sz="4" w:space="0" w:color="auto"/>
              <w:bottom w:val="single" w:sz="4" w:space="0" w:color="auto"/>
              <w:right w:val="single" w:sz="4" w:space="0" w:color="auto"/>
            </w:tcBorders>
          </w:tcPr>
          <w:p w:rsidR="002A150F" w:rsidRPr="006D348B" w:rsidRDefault="002A150F" w:rsidP="002A150F">
            <w:pPr>
              <w:bidi/>
              <w:spacing w:line="240" w:lineRule="exact"/>
              <w:jc w:val="both"/>
              <w:rPr>
                <w:rFonts w:asciiTheme="majorBidi" w:hAnsiTheme="majorBidi" w:cstheme="majorBidi"/>
                <w:b/>
                <w:bCs/>
                <w:szCs w:val="22"/>
                <w:rtl/>
              </w:rPr>
            </w:pPr>
            <w:r w:rsidRPr="006D348B">
              <w:rPr>
                <w:rFonts w:asciiTheme="majorBidi" w:hAnsiTheme="majorBidi" w:cstheme="majorBidi"/>
                <w:b/>
                <w:bCs/>
                <w:szCs w:val="22"/>
                <w:rtl/>
              </w:rPr>
              <w:t>بعد التعديل:</w:t>
            </w:r>
          </w:p>
          <w:p w:rsidR="002A150F" w:rsidRPr="006D348B" w:rsidRDefault="002A150F" w:rsidP="002A150F">
            <w:pPr>
              <w:pStyle w:val="Heading3"/>
              <w:bidi/>
              <w:spacing w:line="240" w:lineRule="exact"/>
              <w:jc w:val="both"/>
              <w:outlineLvl w:val="2"/>
              <w:rPr>
                <w:rFonts w:asciiTheme="majorBidi" w:hAnsiTheme="majorBidi"/>
                <w:color w:val="auto"/>
                <w:sz w:val="22"/>
                <w:szCs w:val="22"/>
                <w:rtl/>
              </w:rPr>
            </w:pPr>
            <w:r w:rsidRPr="006D348B">
              <w:rPr>
                <w:rFonts w:asciiTheme="majorBidi" w:hAnsiTheme="majorBidi"/>
                <w:color w:val="auto"/>
                <w:sz w:val="22"/>
                <w:szCs w:val="22"/>
                <w:rtl/>
              </w:rPr>
              <w:t>(22-1) يتشكل مجلس إدارة الشركة من عدد ثمانية (8) أعضاء، يتم تعيين سبعة (7) أعضاء منهم من قِبَل المساهم الخاص من بينهم رئيس المجلس ونائب الرئيس، بينما يتم تعيين عضو واحد (1) من قِبَل الهيئة العامة للتقاعد والتأمينات الاجتماعية.</w:t>
            </w:r>
          </w:p>
        </w:tc>
      </w:tr>
    </w:tbl>
    <w:p w:rsidR="002A150F" w:rsidRDefault="002A150F" w:rsidP="002A150F">
      <w:pPr>
        <w:jc w:val="both"/>
        <w:rPr>
          <w:rFonts w:asciiTheme="minorBidi" w:hAnsiTheme="minorBidi" w:cstheme="minorBidi"/>
          <w:color w:val="000000"/>
          <w:szCs w:val="22"/>
          <w:u w:val="single"/>
          <w:rtl/>
        </w:rPr>
      </w:pPr>
    </w:p>
    <w:tbl>
      <w:tblPr>
        <w:tblStyle w:val="TableGrid"/>
        <w:tblW w:w="9355" w:type="dxa"/>
        <w:tblInd w:w="-5" w:type="dxa"/>
        <w:tblLook w:val="04A0" w:firstRow="1" w:lastRow="0" w:firstColumn="1" w:lastColumn="0" w:noHBand="0" w:noVBand="1"/>
      </w:tblPr>
      <w:tblGrid>
        <w:gridCol w:w="4950"/>
        <w:gridCol w:w="4405"/>
      </w:tblGrid>
      <w:tr w:rsidR="002A150F" w:rsidTr="002A150F">
        <w:tc>
          <w:tcPr>
            <w:tcW w:w="4950" w:type="dxa"/>
            <w:tcBorders>
              <w:top w:val="single" w:sz="4" w:space="0" w:color="auto"/>
              <w:left w:val="single" w:sz="4" w:space="0" w:color="auto"/>
              <w:bottom w:val="single" w:sz="4" w:space="0" w:color="auto"/>
              <w:right w:val="single" w:sz="4" w:space="0" w:color="auto"/>
            </w:tcBorders>
            <w:hideMark/>
          </w:tcPr>
          <w:p w:rsidR="002A150F" w:rsidRDefault="002A150F">
            <w:pPr>
              <w:spacing w:line="240" w:lineRule="exact"/>
              <w:rPr>
                <w:rFonts w:asciiTheme="minorBidi" w:hAnsiTheme="minorBidi"/>
                <w:b/>
                <w:bCs/>
                <w:szCs w:val="22"/>
              </w:rPr>
            </w:pPr>
            <w:r>
              <w:rPr>
                <w:rFonts w:asciiTheme="minorBidi" w:hAnsiTheme="minorBidi"/>
                <w:b/>
                <w:bCs/>
                <w:szCs w:val="22"/>
              </w:rPr>
              <w:t>New clause to Article (22) COMPOSITION OF THE BOARD</w:t>
            </w:r>
          </w:p>
        </w:tc>
        <w:tc>
          <w:tcPr>
            <w:tcW w:w="4405" w:type="dxa"/>
            <w:tcBorders>
              <w:top w:val="single" w:sz="4" w:space="0" w:color="auto"/>
              <w:left w:val="single" w:sz="4" w:space="0" w:color="auto"/>
              <w:bottom w:val="single" w:sz="4" w:space="0" w:color="auto"/>
              <w:right w:val="single" w:sz="4" w:space="0" w:color="auto"/>
            </w:tcBorders>
            <w:hideMark/>
          </w:tcPr>
          <w:p w:rsidR="002A150F" w:rsidRDefault="002A150F">
            <w:pPr>
              <w:bidi/>
              <w:spacing w:line="240" w:lineRule="exact"/>
              <w:jc w:val="both"/>
              <w:rPr>
                <w:b/>
                <w:bCs/>
                <w:szCs w:val="22"/>
                <w:rtl/>
              </w:rPr>
            </w:pPr>
            <w:r w:rsidRPr="006D348B">
              <w:rPr>
                <w:b/>
                <w:bCs/>
                <w:szCs w:val="22"/>
                <w:rtl/>
              </w:rPr>
              <w:t>فقرة جديدة تضاف للمادة (22) تشكيل مجلس الإدارة</w:t>
            </w:r>
          </w:p>
        </w:tc>
      </w:tr>
      <w:tr w:rsidR="002A150F" w:rsidTr="002A150F">
        <w:tc>
          <w:tcPr>
            <w:tcW w:w="4950" w:type="dxa"/>
            <w:tcBorders>
              <w:top w:val="single" w:sz="4" w:space="0" w:color="auto"/>
              <w:left w:val="single" w:sz="4" w:space="0" w:color="auto"/>
              <w:bottom w:val="single" w:sz="4" w:space="0" w:color="auto"/>
              <w:right w:val="single" w:sz="4" w:space="0" w:color="auto"/>
            </w:tcBorders>
            <w:hideMark/>
          </w:tcPr>
          <w:p w:rsidR="002A150F" w:rsidRDefault="002A150F">
            <w:pPr>
              <w:pStyle w:val="Heading3"/>
              <w:spacing w:line="240" w:lineRule="exact"/>
              <w:jc w:val="both"/>
              <w:outlineLvl w:val="2"/>
              <w:rPr>
                <w:rFonts w:asciiTheme="minorBidi" w:hAnsiTheme="minorBidi" w:cstheme="minorBidi"/>
                <w:color w:val="auto"/>
                <w:sz w:val="22"/>
                <w:szCs w:val="22"/>
                <w:lang w:bidi="ar-AE"/>
              </w:rPr>
            </w:pPr>
            <w:r>
              <w:rPr>
                <w:rFonts w:asciiTheme="minorBidi" w:hAnsiTheme="minorBidi" w:cstheme="minorBidi"/>
                <w:color w:val="auto"/>
                <w:sz w:val="22"/>
                <w:szCs w:val="22"/>
                <w:lang w:bidi="ar-AE"/>
              </w:rPr>
              <w:t>(22-3) In the event that the total ownership</w:t>
            </w:r>
            <w:r>
              <w:rPr>
                <w:rFonts w:asciiTheme="minorBidi" w:hAnsiTheme="minorBidi" w:cstheme="minorBidi"/>
                <w:color w:val="auto"/>
                <w:sz w:val="22"/>
                <w:szCs w:val="22"/>
                <w:rtl/>
                <w:lang w:bidi="ar-AE"/>
              </w:rPr>
              <w:t xml:space="preserve"> </w:t>
            </w:r>
            <w:r>
              <w:rPr>
                <w:rFonts w:asciiTheme="minorBidi" w:hAnsiTheme="minorBidi" w:cstheme="minorBidi"/>
                <w:color w:val="auto"/>
                <w:sz w:val="22"/>
                <w:szCs w:val="22"/>
                <w:lang w:bidi="ar-AE"/>
              </w:rPr>
              <w:t>percentage of the Civil Pension Fund and Military Pension Fund (of the General Retirement and Social Insurance Authority) in the Company’s share capital falls below 15% (without prior approval of the Special Shareholder), the seat of the General Retirement and Social Insurance Authority on the Board and the right to appoint a Director to occupy such a seat shall be vested to the Special Shareholder.</w:t>
            </w:r>
          </w:p>
        </w:tc>
        <w:tc>
          <w:tcPr>
            <w:tcW w:w="4405" w:type="dxa"/>
            <w:tcBorders>
              <w:top w:val="single" w:sz="4" w:space="0" w:color="auto"/>
              <w:left w:val="single" w:sz="4" w:space="0" w:color="auto"/>
              <w:bottom w:val="single" w:sz="4" w:space="0" w:color="auto"/>
              <w:right w:val="single" w:sz="4" w:space="0" w:color="auto"/>
            </w:tcBorders>
            <w:hideMark/>
          </w:tcPr>
          <w:p w:rsidR="002A150F" w:rsidRDefault="002A150F">
            <w:pPr>
              <w:pStyle w:val="Heading3"/>
              <w:bidi/>
              <w:spacing w:line="240" w:lineRule="exact"/>
              <w:jc w:val="both"/>
              <w:outlineLvl w:val="2"/>
              <w:rPr>
                <w:rFonts w:ascii="Times New Roman" w:hAnsi="Times New Roman" w:cs="Times New Roman"/>
                <w:color w:val="auto"/>
                <w:sz w:val="22"/>
                <w:szCs w:val="22"/>
                <w:rtl/>
              </w:rPr>
            </w:pPr>
            <w:r w:rsidRPr="006D348B">
              <w:rPr>
                <w:rFonts w:ascii="Times New Roman" w:hAnsi="Times New Roman" w:cs="Times New Roman"/>
                <w:color w:val="auto"/>
                <w:sz w:val="22"/>
                <w:szCs w:val="22"/>
                <w:rtl/>
              </w:rPr>
              <w:t>(22-3) في حال انخفاض إجمالي نسبة ما يملكه صندوق المعاشات المدني وصندوق المعاشات العسكري معاً التابعين للهيئه العامة للتقاعد والتأمينات الأجتماعية في أسهم رأسمال الشركة عن 15% (بدون موافقة مسبوقة من المساهم الخاص)، عندئذ يؤول المقعد الخاص بالهيئة العامة للتقاعد والتأمينات الاجتماعية في مجلس الإدارة والحق في تعيين من يشغله الى المساهم الخاص.</w:t>
            </w:r>
          </w:p>
        </w:tc>
      </w:tr>
    </w:tbl>
    <w:p w:rsidR="002A150F" w:rsidRDefault="002A150F" w:rsidP="002A150F">
      <w:pPr>
        <w:jc w:val="both"/>
        <w:rPr>
          <w:rFonts w:asciiTheme="minorBidi" w:hAnsiTheme="minorBidi" w:cstheme="minorBidi"/>
          <w:color w:val="000000"/>
          <w:szCs w:val="22"/>
          <w:u w:val="single"/>
          <w:rtl/>
          <w:lang w:bidi="ar-AE"/>
        </w:rPr>
      </w:pPr>
    </w:p>
    <w:tbl>
      <w:tblPr>
        <w:tblStyle w:val="TableGrid"/>
        <w:tblW w:w="9355" w:type="dxa"/>
        <w:tblInd w:w="-5" w:type="dxa"/>
        <w:tblLook w:val="04A0" w:firstRow="1" w:lastRow="0" w:firstColumn="1" w:lastColumn="0" w:noHBand="0" w:noVBand="1"/>
      </w:tblPr>
      <w:tblGrid>
        <w:gridCol w:w="4950"/>
        <w:gridCol w:w="4405"/>
      </w:tblGrid>
      <w:tr w:rsidR="002A150F" w:rsidTr="002A150F">
        <w:tc>
          <w:tcPr>
            <w:tcW w:w="4950" w:type="dxa"/>
            <w:tcBorders>
              <w:top w:val="single" w:sz="4" w:space="0" w:color="auto"/>
              <w:left w:val="single" w:sz="4" w:space="0" w:color="auto"/>
              <w:bottom w:val="single" w:sz="4" w:space="0" w:color="auto"/>
              <w:right w:val="single" w:sz="4" w:space="0" w:color="auto"/>
            </w:tcBorders>
            <w:hideMark/>
          </w:tcPr>
          <w:p w:rsidR="002A150F" w:rsidRDefault="002A150F">
            <w:pPr>
              <w:spacing w:line="240" w:lineRule="exact"/>
              <w:jc w:val="both"/>
              <w:rPr>
                <w:rFonts w:asciiTheme="minorBidi" w:hAnsiTheme="minorBidi"/>
                <w:b/>
                <w:bCs/>
                <w:szCs w:val="22"/>
              </w:rPr>
            </w:pPr>
            <w:r>
              <w:rPr>
                <w:rFonts w:asciiTheme="minorBidi" w:hAnsiTheme="minorBidi"/>
                <w:b/>
                <w:bCs/>
                <w:szCs w:val="22"/>
              </w:rPr>
              <w:t>Article (24) TERM AND VACATION OF OFFICE OF DIRECTORS</w:t>
            </w:r>
          </w:p>
        </w:tc>
        <w:tc>
          <w:tcPr>
            <w:tcW w:w="4405" w:type="dxa"/>
            <w:tcBorders>
              <w:top w:val="single" w:sz="4" w:space="0" w:color="auto"/>
              <w:left w:val="single" w:sz="4" w:space="0" w:color="auto"/>
              <w:bottom w:val="single" w:sz="4" w:space="0" w:color="auto"/>
              <w:right w:val="single" w:sz="4" w:space="0" w:color="auto"/>
            </w:tcBorders>
            <w:hideMark/>
          </w:tcPr>
          <w:p w:rsidR="002A150F" w:rsidRDefault="002A150F">
            <w:pPr>
              <w:bidi/>
              <w:spacing w:line="240" w:lineRule="exact"/>
              <w:jc w:val="both"/>
              <w:rPr>
                <w:rFonts w:asciiTheme="majorBidi" w:hAnsiTheme="majorBidi" w:cstheme="majorBidi"/>
                <w:b/>
                <w:bCs/>
                <w:szCs w:val="22"/>
                <w:rtl/>
              </w:rPr>
            </w:pPr>
            <w:r w:rsidRPr="006D348B">
              <w:rPr>
                <w:rFonts w:asciiTheme="majorBidi" w:hAnsiTheme="majorBidi"/>
                <w:b/>
                <w:bCs/>
                <w:szCs w:val="22"/>
                <w:rtl/>
              </w:rPr>
              <w:t>المادة (24) مدة تعيين أعضاء مجلس الإدارة وإخلاء مناصبهم</w:t>
            </w:r>
          </w:p>
        </w:tc>
      </w:tr>
      <w:tr w:rsidR="002A150F" w:rsidTr="002A150F">
        <w:tc>
          <w:tcPr>
            <w:tcW w:w="4950" w:type="dxa"/>
            <w:tcBorders>
              <w:top w:val="single" w:sz="4" w:space="0" w:color="auto"/>
              <w:left w:val="single" w:sz="4" w:space="0" w:color="auto"/>
              <w:bottom w:val="single" w:sz="4" w:space="0" w:color="auto"/>
              <w:right w:val="single" w:sz="4" w:space="0" w:color="auto"/>
            </w:tcBorders>
            <w:hideMark/>
          </w:tcPr>
          <w:p w:rsidR="002A150F" w:rsidRDefault="002A150F">
            <w:pPr>
              <w:pStyle w:val="Heading3"/>
              <w:spacing w:line="240" w:lineRule="exact"/>
              <w:outlineLvl w:val="2"/>
              <w:rPr>
                <w:rFonts w:asciiTheme="minorBidi" w:hAnsiTheme="minorBidi" w:cstheme="minorBidi"/>
                <w:b/>
                <w:bCs/>
                <w:color w:val="auto"/>
                <w:sz w:val="22"/>
                <w:szCs w:val="22"/>
                <w:lang w:bidi="ar-AE"/>
              </w:rPr>
            </w:pPr>
            <w:r>
              <w:rPr>
                <w:rFonts w:asciiTheme="minorBidi" w:hAnsiTheme="minorBidi" w:cstheme="minorBidi"/>
                <w:b/>
                <w:bCs/>
                <w:color w:val="auto"/>
                <w:sz w:val="22"/>
                <w:szCs w:val="22"/>
                <w:lang w:bidi="ar-AE"/>
              </w:rPr>
              <w:t>Former Article reads as follows:</w:t>
            </w:r>
          </w:p>
          <w:p w:rsidR="002A150F" w:rsidRDefault="002A150F">
            <w:pPr>
              <w:pStyle w:val="Heading3"/>
              <w:spacing w:line="240" w:lineRule="exact"/>
              <w:jc w:val="both"/>
              <w:outlineLvl w:val="2"/>
              <w:rPr>
                <w:rFonts w:asciiTheme="minorBidi" w:hAnsiTheme="minorBidi" w:cstheme="minorBidi"/>
                <w:color w:val="auto"/>
                <w:sz w:val="22"/>
                <w:szCs w:val="22"/>
                <w:rtl/>
                <w:lang w:bidi="ar-AE"/>
              </w:rPr>
            </w:pPr>
            <w:r>
              <w:rPr>
                <w:rFonts w:asciiTheme="minorBidi" w:hAnsiTheme="minorBidi" w:cstheme="minorBidi"/>
                <w:color w:val="auto"/>
                <w:sz w:val="22"/>
                <w:szCs w:val="22"/>
                <w:lang w:bidi="ar-AE"/>
              </w:rPr>
              <w:t>In the case of a vacancy relating to a Director, the Special Shareholder shall have the right to appoint a replacement Director (for the remainder term), to take effect upon notice of replacement being given to the Company.</w:t>
            </w:r>
          </w:p>
        </w:tc>
        <w:tc>
          <w:tcPr>
            <w:tcW w:w="4405" w:type="dxa"/>
            <w:tcBorders>
              <w:top w:val="single" w:sz="4" w:space="0" w:color="auto"/>
              <w:left w:val="single" w:sz="4" w:space="0" w:color="auto"/>
              <w:bottom w:val="single" w:sz="4" w:space="0" w:color="auto"/>
              <w:right w:val="single" w:sz="4" w:space="0" w:color="auto"/>
            </w:tcBorders>
            <w:hideMark/>
          </w:tcPr>
          <w:p w:rsidR="002A150F" w:rsidRPr="006D348B" w:rsidRDefault="002A150F" w:rsidP="002A150F">
            <w:pPr>
              <w:pStyle w:val="Heading3"/>
              <w:bidi/>
              <w:spacing w:line="240" w:lineRule="exact"/>
              <w:jc w:val="both"/>
              <w:outlineLvl w:val="2"/>
              <w:rPr>
                <w:rFonts w:asciiTheme="majorBidi" w:hAnsiTheme="majorBidi"/>
                <w:b/>
                <w:bCs/>
                <w:color w:val="auto"/>
                <w:sz w:val="22"/>
                <w:szCs w:val="22"/>
                <w:rtl/>
              </w:rPr>
            </w:pPr>
            <w:r w:rsidRPr="006D348B">
              <w:rPr>
                <w:rFonts w:asciiTheme="majorBidi" w:hAnsiTheme="majorBidi"/>
                <w:b/>
                <w:bCs/>
                <w:color w:val="auto"/>
                <w:sz w:val="22"/>
                <w:szCs w:val="22"/>
                <w:rtl/>
              </w:rPr>
              <w:t>قبل التعديل:</w:t>
            </w:r>
          </w:p>
          <w:p w:rsidR="002A150F" w:rsidRDefault="002A150F" w:rsidP="002A150F">
            <w:pPr>
              <w:pStyle w:val="Heading3"/>
              <w:bidi/>
              <w:spacing w:line="240" w:lineRule="exact"/>
              <w:jc w:val="both"/>
              <w:outlineLvl w:val="2"/>
              <w:rPr>
                <w:rFonts w:asciiTheme="majorBidi" w:hAnsiTheme="majorBidi"/>
                <w:color w:val="auto"/>
                <w:sz w:val="22"/>
                <w:szCs w:val="22"/>
                <w:rtl/>
              </w:rPr>
            </w:pPr>
            <w:r w:rsidRPr="006D348B">
              <w:rPr>
                <w:rFonts w:asciiTheme="majorBidi" w:hAnsiTheme="majorBidi"/>
                <w:color w:val="auto"/>
                <w:sz w:val="22"/>
                <w:szCs w:val="22"/>
                <w:rtl/>
              </w:rPr>
              <w:t>إذا أصبح منصب عضو مجلس إدارة شاغراً، يحق للمساهم الخاص أن يعين بديلاً عنه في مجلس الإدارة (للفترة المتبقية) ويصبح تعيينه نافذاً عند توجيه إشعار بالاستبدال إلى الشركة.</w:t>
            </w:r>
          </w:p>
        </w:tc>
      </w:tr>
      <w:tr w:rsidR="002A150F" w:rsidTr="002A150F">
        <w:tc>
          <w:tcPr>
            <w:tcW w:w="4950" w:type="dxa"/>
            <w:tcBorders>
              <w:top w:val="single" w:sz="4" w:space="0" w:color="auto"/>
              <w:left w:val="single" w:sz="4" w:space="0" w:color="auto"/>
              <w:bottom w:val="single" w:sz="4" w:space="0" w:color="auto"/>
              <w:right w:val="single" w:sz="4" w:space="0" w:color="auto"/>
            </w:tcBorders>
            <w:hideMark/>
          </w:tcPr>
          <w:p w:rsidR="002A150F" w:rsidRDefault="002A150F">
            <w:pPr>
              <w:spacing w:line="240" w:lineRule="exact"/>
              <w:jc w:val="both"/>
              <w:rPr>
                <w:rFonts w:asciiTheme="minorBidi" w:hAnsiTheme="minorBidi"/>
                <w:b/>
                <w:bCs/>
                <w:szCs w:val="22"/>
                <w:rtl/>
                <w:lang w:bidi="ar-AE"/>
              </w:rPr>
            </w:pPr>
            <w:r>
              <w:rPr>
                <w:rFonts w:asciiTheme="minorBidi" w:hAnsiTheme="minorBidi"/>
                <w:b/>
                <w:bCs/>
                <w:szCs w:val="22"/>
                <w:lang w:bidi="ar-AE"/>
              </w:rPr>
              <w:t>Amended Article reads as follows:</w:t>
            </w:r>
          </w:p>
          <w:p w:rsidR="002A150F" w:rsidRDefault="002A150F">
            <w:pPr>
              <w:spacing w:line="240" w:lineRule="exact"/>
              <w:jc w:val="both"/>
              <w:rPr>
                <w:rFonts w:asciiTheme="minorBidi" w:hAnsiTheme="minorBidi" w:cstheme="minorBidi"/>
                <w:szCs w:val="22"/>
              </w:rPr>
            </w:pPr>
            <w:r>
              <w:rPr>
                <w:rFonts w:asciiTheme="minorBidi" w:hAnsiTheme="minorBidi" w:cstheme="minorBidi"/>
                <w:szCs w:val="22"/>
                <w:lang w:bidi="ar-AE"/>
              </w:rPr>
              <w:t>In the case of a vacancy relating to a Director appointed by the Special Shareholder, the  Special Shareholder shall have the right to appoint a replacement Director (for the remainder term), to take effect upon notice of replacement being given to the Company.</w:t>
            </w:r>
          </w:p>
        </w:tc>
        <w:tc>
          <w:tcPr>
            <w:tcW w:w="4405" w:type="dxa"/>
            <w:tcBorders>
              <w:top w:val="single" w:sz="4" w:space="0" w:color="auto"/>
              <w:left w:val="single" w:sz="4" w:space="0" w:color="auto"/>
              <w:bottom w:val="single" w:sz="4" w:space="0" w:color="auto"/>
              <w:right w:val="single" w:sz="4" w:space="0" w:color="auto"/>
            </w:tcBorders>
            <w:hideMark/>
          </w:tcPr>
          <w:p w:rsidR="002A150F" w:rsidRPr="006D348B" w:rsidRDefault="002A150F" w:rsidP="002A150F">
            <w:pPr>
              <w:bidi/>
              <w:spacing w:line="240" w:lineRule="exact"/>
              <w:jc w:val="both"/>
              <w:rPr>
                <w:rFonts w:asciiTheme="majorBidi" w:hAnsiTheme="majorBidi" w:cstheme="majorBidi"/>
                <w:b/>
                <w:bCs/>
                <w:szCs w:val="22"/>
                <w:rtl/>
              </w:rPr>
            </w:pPr>
            <w:r w:rsidRPr="006D348B">
              <w:rPr>
                <w:rFonts w:asciiTheme="majorBidi" w:hAnsiTheme="majorBidi"/>
                <w:b/>
                <w:bCs/>
                <w:szCs w:val="22"/>
                <w:rtl/>
              </w:rPr>
              <w:t>بعد التعديل:</w:t>
            </w:r>
          </w:p>
          <w:p w:rsidR="002A150F" w:rsidRDefault="002A150F" w:rsidP="002A150F">
            <w:pPr>
              <w:pStyle w:val="Heading3"/>
              <w:bidi/>
              <w:spacing w:line="240" w:lineRule="exact"/>
              <w:jc w:val="both"/>
              <w:outlineLvl w:val="2"/>
              <w:rPr>
                <w:rFonts w:asciiTheme="majorBidi" w:hAnsiTheme="majorBidi"/>
                <w:color w:val="auto"/>
                <w:sz w:val="22"/>
                <w:szCs w:val="22"/>
                <w:rtl/>
              </w:rPr>
            </w:pPr>
            <w:r w:rsidRPr="006D348B">
              <w:rPr>
                <w:rFonts w:asciiTheme="majorBidi" w:hAnsiTheme="majorBidi"/>
                <w:color w:val="auto"/>
                <w:sz w:val="22"/>
                <w:szCs w:val="22"/>
                <w:rtl/>
              </w:rPr>
              <w:t>إذا أصبح منصب عضو مجلس إدارة الذي عُين من قِبَل المساهم الخاص شاغراً، يحق للمساهم الخاص أن يعين بديلاً عنه في مجلس الإدارة (للفترة المتبقية) ويصبح تعيينه نافذاً عند توجيه إشعار بالاستبدال إلى الشركة.</w:t>
            </w:r>
          </w:p>
        </w:tc>
      </w:tr>
    </w:tbl>
    <w:p w:rsidR="002A150F" w:rsidRDefault="002A150F" w:rsidP="002A150F">
      <w:pPr>
        <w:jc w:val="both"/>
        <w:rPr>
          <w:rFonts w:asciiTheme="minorBidi" w:hAnsiTheme="minorBidi" w:cstheme="minorBidi"/>
          <w:color w:val="000000"/>
          <w:szCs w:val="22"/>
          <w:u w:val="single"/>
          <w:rtl/>
        </w:rPr>
      </w:pPr>
    </w:p>
    <w:p w:rsidR="003616CC" w:rsidRPr="00CC5ED6" w:rsidRDefault="003616CC" w:rsidP="00CC5ED6">
      <w:pPr>
        <w:autoSpaceDE w:val="0"/>
        <w:autoSpaceDN w:val="0"/>
        <w:bidi/>
        <w:adjustRightInd w:val="0"/>
        <w:rPr>
          <w:rFonts w:ascii="Arabic Transparent" w:hAnsi="Arabic Transparent" w:cs="Arabic Transparent"/>
          <w:sz w:val="24"/>
          <w:rtl/>
        </w:rPr>
      </w:pPr>
    </w:p>
    <w:sectPr w:rsidR="003616CC" w:rsidRPr="00CC5ED6" w:rsidSect="00927223">
      <w:pgSz w:w="11906" w:h="16838" w:code="9"/>
      <w:pgMar w:top="1440" w:right="1134" w:bottom="28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FE0" w:rsidRDefault="00735FE0" w:rsidP="004259A2">
      <w:r>
        <w:separator/>
      </w:r>
    </w:p>
  </w:endnote>
  <w:endnote w:type="continuationSeparator" w:id="0">
    <w:p w:rsidR="00735FE0" w:rsidRDefault="00735FE0" w:rsidP="0042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charset w:val="00"/>
    <w:family w:val="swiss"/>
    <w:pitch w:val="variable"/>
    <w:sig w:usb0="00000003" w:usb1="00000000" w:usb2="00000000" w:usb3="00000000" w:csb0="00000001" w:csb1="00000000"/>
  </w:font>
  <w:font w:name="Arabic Transparent">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FE0" w:rsidRDefault="00735FE0" w:rsidP="004259A2">
      <w:r>
        <w:separator/>
      </w:r>
    </w:p>
  </w:footnote>
  <w:footnote w:type="continuationSeparator" w:id="0">
    <w:p w:rsidR="00735FE0" w:rsidRDefault="00735FE0" w:rsidP="00425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4CE8"/>
    <w:multiLevelType w:val="hybridMultilevel"/>
    <w:tmpl w:val="4A145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96082"/>
    <w:multiLevelType w:val="hybridMultilevel"/>
    <w:tmpl w:val="D4F42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B068F6"/>
    <w:multiLevelType w:val="hybridMultilevel"/>
    <w:tmpl w:val="CD4EA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C4398"/>
    <w:multiLevelType w:val="hybridMultilevel"/>
    <w:tmpl w:val="851A9B42"/>
    <w:lvl w:ilvl="0" w:tplc="6CE066C8">
      <w:numFmt w:val="bullet"/>
      <w:lvlText w:val="-"/>
      <w:lvlJc w:val="left"/>
      <w:pPr>
        <w:ind w:left="1080" w:hanging="360"/>
      </w:pPr>
      <w:rPr>
        <w:rFonts w:ascii="Times New Roman" w:eastAsia="Times New Roman" w:hAnsi="Times New Roman"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197603"/>
    <w:multiLevelType w:val="hybridMultilevel"/>
    <w:tmpl w:val="545CE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6A03"/>
    <w:multiLevelType w:val="hybridMultilevel"/>
    <w:tmpl w:val="9FAC19A4"/>
    <w:lvl w:ilvl="0" w:tplc="225EF630">
      <w:start w:val="1"/>
      <w:numFmt w:val="decimal"/>
      <w:lvlText w:val="%1."/>
      <w:lvlJc w:val="left"/>
      <w:pPr>
        <w:tabs>
          <w:tab w:val="num" w:pos="720"/>
        </w:tabs>
        <w:ind w:left="720" w:hanging="360"/>
      </w:pPr>
    </w:lvl>
    <w:lvl w:ilvl="1" w:tplc="5888E96A" w:tentative="1">
      <w:start w:val="1"/>
      <w:numFmt w:val="decimal"/>
      <w:lvlText w:val="%2."/>
      <w:lvlJc w:val="left"/>
      <w:pPr>
        <w:tabs>
          <w:tab w:val="num" w:pos="1440"/>
        </w:tabs>
        <w:ind w:left="1440" w:hanging="360"/>
      </w:pPr>
    </w:lvl>
    <w:lvl w:ilvl="2" w:tplc="4C9097BC" w:tentative="1">
      <w:start w:val="1"/>
      <w:numFmt w:val="decimal"/>
      <w:lvlText w:val="%3."/>
      <w:lvlJc w:val="left"/>
      <w:pPr>
        <w:tabs>
          <w:tab w:val="num" w:pos="2160"/>
        </w:tabs>
        <w:ind w:left="2160" w:hanging="360"/>
      </w:pPr>
    </w:lvl>
    <w:lvl w:ilvl="3" w:tplc="7FE05690" w:tentative="1">
      <w:start w:val="1"/>
      <w:numFmt w:val="decimal"/>
      <w:lvlText w:val="%4."/>
      <w:lvlJc w:val="left"/>
      <w:pPr>
        <w:tabs>
          <w:tab w:val="num" w:pos="2880"/>
        </w:tabs>
        <w:ind w:left="2880" w:hanging="360"/>
      </w:pPr>
    </w:lvl>
    <w:lvl w:ilvl="4" w:tplc="46BA9BE6" w:tentative="1">
      <w:start w:val="1"/>
      <w:numFmt w:val="decimal"/>
      <w:lvlText w:val="%5."/>
      <w:lvlJc w:val="left"/>
      <w:pPr>
        <w:tabs>
          <w:tab w:val="num" w:pos="3600"/>
        </w:tabs>
        <w:ind w:left="3600" w:hanging="360"/>
      </w:pPr>
    </w:lvl>
    <w:lvl w:ilvl="5" w:tplc="6860A458" w:tentative="1">
      <w:start w:val="1"/>
      <w:numFmt w:val="decimal"/>
      <w:lvlText w:val="%6."/>
      <w:lvlJc w:val="left"/>
      <w:pPr>
        <w:tabs>
          <w:tab w:val="num" w:pos="4320"/>
        </w:tabs>
        <w:ind w:left="4320" w:hanging="360"/>
      </w:pPr>
    </w:lvl>
    <w:lvl w:ilvl="6" w:tplc="2FB0EE02" w:tentative="1">
      <w:start w:val="1"/>
      <w:numFmt w:val="decimal"/>
      <w:lvlText w:val="%7."/>
      <w:lvlJc w:val="left"/>
      <w:pPr>
        <w:tabs>
          <w:tab w:val="num" w:pos="5040"/>
        </w:tabs>
        <w:ind w:left="5040" w:hanging="360"/>
      </w:pPr>
    </w:lvl>
    <w:lvl w:ilvl="7" w:tplc="4036ADF6" w:tentative="1">
      <w:start w:val="1"/>
      <w:numFmt w:val="decimal"/>
      <w:lvlText w:val="%8."/>
      <w:lvlJc w:val="left"/>
      <w:pPr>
        <w:tabs>
          <w:tab w:val="num" w:pos="5760"/>
        </w:tabs>
        <w:ind w:left="5760" w:hanging="360"/>
      </w:pPr>
    </w:lvl>
    <w:lvl w:ilvl="8" w:tplc="66BEF140" w:tentative="1">
      <w:start w:val="1"/>
      <w:numFmt w:val="decimal"/>
      <w:lvlText w:val="%9."/>
      <w:lvlJc w:val="left"/>
      <w:pPr>
        <w:tabs>
          <w:tab w:val="num" w:pos="6480"/>
        </w:tabs>
        <w:ind w:left="6480" w:hanging="360"/>
      </w:pPr>
    </w:lvl>
  </w:abstractNum>
  <w:abstractNum w:abstractNumId="6" w15:restartNumberingAfterBreak="0">
    <w:nsid w:val="1E4279EC"/>
    <w:multiLevelType w:val="hybridMultilevel"/>
    <w:tmpl w:val="2856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C04F1"/>
    <w:multiLevelType w:val="hybridMultilevel"/>
    <w:tmpl w:val="13D418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32364F"/>
    <w:multiLevelType w:val="hybridMultilevel"/>
    <w:tmpl w:val="531CE150"/>
    <w:lvl w:ilvl="0" w:tplc="04090011">
      <w:start w:val="1"/>
      <w:numFmt w:val="decimal"/>
      <w:lvlText w:val="%1)"/>
      <w:lvlJc w:val="left"/>
      <w:pPr>
        <w:tabs>
          <w:tab w:val="num" w:pos="720"/>
        </w:tabs>
        <w:ind w:left="720" w:hanging="360"/>
      </w:pPr>
    </w:lvl>
    <w:lvl w:ilvl="1" w:tplc="B32C401C" w:tentative="1">
      <w:start w:val="1"/>
      <w:numFmt w:val="decimal"/>
      <w:lvlText w:val="%2."/>
      <w:lvlJc w:val="left"/>
      <w:pPr>
        <w:tabs>
          <w:tab w:val="num" w:pos="1440"/>
        </w:tabs>
        <w:ind w:left="1440" w:hanging="360"/>
      </w:pPr>
    </w:lvl>
    <w:lvl w:ilvl="2" w:tplc="EF3C9554" w:tentative="1">
      <w:start w:val="1"/>
      <w:numFmt w:val="decimal"/>
      <w:lvlText w:val="%3."/>
      <w:lvlJc w:val="left"/>
      <w:pPr>
        <w:tabs>
          <w:tab w:val="num" w:pos="2160"/>
        </w:tabs>
        <w:ind w:left="2160" w:hanging="360"/>
      </w:pPr>
    </w:lvl>
    <w:lvl w:ilvl="3" w:tplc="3F925248" w:tentative="1">
      <w:start w:val="1"/>
      <w:numFmt w:val="decimal"/>
      <w:lvlText w:val="%4."/>
      <w:lvlJc w:val="left"/>
      <w:pPr>
        <w:tabs>
          <w:tab w:val="num" w:pos="2880"/>
        </w:tabs>
        <w:ind w:left="2880" w:hanging="360"/>
      </w:pPr>
    </w:lvl>
    <w:lvl w:ilvl="4" w:tplc="EBF23CCE" w:tentative="1">
      <w:start w:val="1"/>
      <w:numFmt w:val="decimal"/>
      <w:lvlText w:val="%5."/>
      <w:lvlJc w:val="left"/>
      <w:pPr>
        <w:tabs>
          <w:tab w:val="num" w:pos="3600"/>
        </w:tabs>
        <w:ind w:left="3600" w:hanging="360"/>
      </w:pPr>
    </w:lvl>
    <w:lvl w:ilvl="5" w:tplc="3756337E" w:tentative="1">
      <w:start w:val="1"/>
      <w:numFmt w:val="decimal"/>
      <w:lvlText w:val="%6."/>
      <w:lvlJc w:val="left"/>
      <w:pPr>
        <w:tabs>
          <w:tab w:val="num" w:pos="4320"/>
        </w:tabs>
        <w:ind w:left="4320" w:hanging="360"/>
      </w:pPr>
    </w:lvl>
    <w:lvl w:ilvl="6" w:tplc="F58CB7CE" w:tentative="1">
      <w:start w:val="1"/>
      <w:numFmt w:val="decimal"/>
      <w:lvlText w:val="%7."/>
      <w:lvlJc w:val="left"/>
      <w:pPr>
        <w:tabs>
          <w:tab w:val="num" w:pos="5040"/>
        </w:tabs>
        <w:ind w:left="5040" w:hanging="360"/>
      </w:pPr>
    </w:lvl>
    <w:lvl w:ilvl="7" w:tplc="E8EAEDCE" w:tentative="1">
      <w:start w:val="1"/>
      <w:numFmt w:val="decimal"/>
      <w:lvlText w:val="%8."/>
      <w:lvlJc w:val="left"/>
      <w:pPr>
        <w:tabs>
          <w:tab w:val="num" w:pos="5760"/>
        </w:tabs>
        <w:ind w:left="5760" w:hanging="360"/>
      </w:pPr>
    </w:lvl>
    <w:lvl w:ilvl="8" w:tplc="AA5C19C4" w:tentative="1">
      <w:start w:val="1"/>
      <w:numFmt w:val="decimal"/>
      <w:lvlText w:val="%9."/>
      <w:lvlJc w:val="left"/>
      <w:pPr>
        <w:tabs>
          <w:tab w:val="num" w:pos="6480"/>
        </w:tabs>
        <w:ind w:left="6480" w:hanging="360"/>
      </w:pPr>
    </w:lvl>
  </w:abstractNum>
  <w:abstractNum w:abstractNumId="9" w15:restartNumberingAfterBreak="0">
    <w:nsid w:val="2C8E01C8"/>
    <w:multiLevelType w:val="hybridMultilevel"/>
    <w:tmpl w:val="E1AE95DE"/>
    <w:lvl w:ilvl="0" w:tplc="D66EB380">
      <w:start w:val="1"/>
      <w:numFmt w:val="decimal"/>
      <w:lvlText w:val="%1."/>
      <w:lvlJc w:val="left"/>
      <w:pPr>
        <w:ind w:left="360" w:hanging="360"/>
      </w:pPr>
      <w:rPr>
        <w:rFonts w:asciiTheme="minorBidi" w:hAnsiTheme="minorBidi" w:cstheme="minorBid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F3A7F29"/>
    <w:multiLevelType w:val="hybridMultilevel"/>
    <w:tmpl w:val="9886C172"/>
    <w:lvl w:ilvl="0" w:tplc="C41E29BA">
      <w:start w:val="1"/>
      <w:numFmt w:val="decimal"/>
      <w:lvlText w:val="%1."/>
      <w:lvlJc w:val="left"/>
      <w:pPr>
        <w:ind w:left="360" w:hanging="360"/>
      </w:pPr>
      <w:rPr>
        <w:rFonts w:asciiTheme="minorBidi" w:hAnsiTheme="minorBid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2B7B0D"/>
    <w:multiLevelType w:val="hybridMultilevel"/>
    <w:tmpl w:val="D2EC3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F5803"/>
    <w:multiLevelType w:val="hybridMultilevel"/>
    <w:tmpl w:val="6E66A67C"/>
    <w:lvl w:ilvl="0" w:tplc="04090011">
      <w:start w:val="1"/>
      <w:numFmt w:val="decimal"/>
      <w:lvlText w:val="%1)"/>
      <w:lvlJc w:val="left"/>
      <w:pPr>
        <w:tabs>
          <w:tab w:val="num" w:pos="720"/>
        </w:tabs>
        <w:ind w:left="720" w:hanging="360"/>
      </w:pPr>
    </w:lvl>
    <w:lvl w:ilvl="1" w:tplc="5888E96A" w:tentative="1">
      <w:start w:val="1"/>
      <w:numFmt w:val="decimal"/>
      <w:lvlText w:val="%2."/>
      <w:lvlJc w:val="left"/>
      <w:pPr>
        <w:tabs>
          <w:tab w:val="num" w:pos="1440"/>
        </w:tabs>
        <w:ind w:left="1440" w:hanging="360"/>
      </w:pPr>
    </w:lvl>
    <w:lvl w:ilvl="2" w:tplc="4C9097BC" w:tentative="1">
      <w:start w:val="1"/>
      <w:numFmt w:val="decimal"/>
      <w:lvlText w:val="%3."/>
      <w:lvlJc w:val="left"/>
      <w:pPr>
        <w:tabs>
          <w:tab w:val="num" w:pos="2160"/>
        </w:tabs>
        <w:ind w:left="2160" w:hanging="360"/>
      </w:pPr>
    </w:lvl>
    <w:lvl w:ilvl="3" w:tplc="7FE05690" w:tentative="1">
      <w:start w:val="1"/>
      <w:numFmt w:val="decimal"/>
      <w:lvlText w:val="%4."/>
      <w:lvlJc w:val="left"/>
      <w:pPr>
        <w:tabs>
          <w:tab w:val="num" w:pos="2880"/>
        </w:tabs>
        <w:ind w:left="2880" w:hanging="360"/>
      </w:pPr>
    </w:lvl>
    <w:lvl w:ilvl="4" w:tplc="46BA9BE6" w:tentative="1">
      <w:start w:val="1"/>
      <w:numFmt w:val="decimal"/>
      <w:lvlText w:val="%5."/>
      <w:lvlJc w:val="left"/>
      <w:pPr>
        <w:tabs>
          <w:tab w:val="num" w:pos="3600"/>
        </w:tabs>
        <w:ind w:left="3600" w:hanging="360"/>
      </w:pPr>
    </w:lvl>
    <w:lvl w:ilvl="5" w:tplc="6860A458" w:tentative="1">
      <w:start w:val="1"/>
      <w:numFmt w:val="decimal"/>
      <w:lvlText w:val="%6."/>
      <w:lvlJc w:val="left"/>
      <w:pPr>
        <w:tabs>
          <w:tab w:val="num" w:pos="4320"/>
        </w:tabs>
        <w:ind w:left="4320" w:hanging="360"/>
      </w:pPr>
    </w:lvl>
    <w:lvl w:ilvl="6" w:tplc="2FB0EE02" w:tentative="1">
      <w:start w:val="1"/>
      <w:numFmt w:val="decimal"/>
      <w:lvlText w:val="%7."/>
      <w:lvlJc w:val="left"/>
      <w:pPr>
        <w:tabs>
          <w:tab w:val="num" w:pos="5040"/>
        </w:tabs>
        <w:ind w:left="5040" w:hanging="360"/>
      </w:pPr>
    </w:lvl>
    <w:lvl w:ilvl="7" w:tplc="4036ADF6" w:tentative="1">
      <w:start w:val="1"/>
      <w:numFmt w:val="decimal"/>
      <w:lvlText w:val="%8."/>
      <w:lvlJc w:val="left"/>
      <w:pPr>
        <w:tabs>
          <w:tab w:val="num" w:pos="5760"/>
        </w:tabs>
        <w:ind w:left="5760" w:hanging="360"/>
      </w:pPr>
    </w:lvl>
    <w:lvl w:ilvl="8" w:tplc="66BEF140" w:tentative="1">
      <w:start w:val="1"/>
      <w:numFmt w:val="decimal"/>
      <w:lvlText w:val="%9."/>
      <w:lvlJc w:val="left"/>
      <w:pPr>
        <w:tabs>
          <w:tab w:val="num" w:pos="6480"/>
        </w:tabs>
        <w:ind w:left="6480" w:hanging="360"/>
      </w:pPr>
    </w:lvl>
  </w:abstractNum>
  <w:abstractNum w:abstractNumId="13" w15:restartNumberingAfterBreak="0">
    <w:nsid w:val="40E71DCE"/>
    <w:multiLevelType w:val="hybridMultilevel"/>
    <w:tmpl w:val="29CCE9F0"/>
    <w:lvl w:ilvl="0" w:tplc="19D0ADB0">
      <w:start w:val="1"/>
      <w:numFmt w:val="decimal"/>
      <w:lvlText w:val="%1."/>
      <w:lvlJc w:val="left"/>
      <w:pPr>
        <w:tabs>
          <w:tab w:val="num" w:pos="720"/>
        </w:tabs>
        <w:ind w:left="720" w:hanging="360"/>
      </w:pPr>
    </w:lvl>
    <w:lvl w:ilvl="1" w:tplc="B32C401C" w:tentative="1">
      <w:start w:val="1"/>
      <w:numFmt w:val="decimal"/>
      <w:lvlText w:val="%2."/>
      <w:lvlJc w:val="left"/>
      <w:pPr>
        <w:tabs>
          <w:tab w:val="num" w:pos="1440"/>
        </w:tabs>
        <w:ind w:left="1440" w:hanging="360"/>
      </w:pPr>
    </w:lvl>
    <w:lvl w:ilvl="2" w:tplc="EF3C9554" w:tentative="1">
      <w:start w:val="1"/>
      <w:numFmt w:val="decimal"/>
      <w:lvlText w:val="%3."/>
      <w:lvlJc w:val="left"/>
      <w:pPr>
        <w:tabs>
          <w:tab w:val="num" w:pos="2160"/>
        </w:tabs>
        <w:ind w:left="2160" w:hanging="360"/>
      </w:pPr>
    </w:lvl>
    <w:lvl w:ilvl="3" w:tplc="3F925248" w:tentative="1">
      <w:start w:val="1"/>
      <w:numFmt w:val="decimal"/>
      <w:lvlText w:val="%4."/>
      <w:lvlJc w:val="left"/>
      <w:pPr>
        <w:tabs>
          <w:tab w:val="num" w:pos="2880"/>
        </w:tabs>
        <w:ind w:left="2880" w:hanging="360"/>
      </w:pPr>
    </w:lvl>
    <w:lvl w:ilvl="4" w:tplc="EBF23CCE" w:tentative="1">
      <w:start w:val="1"/>
      <w:numFmt w:val="decimal"/>
      <w:lvlText w:val="%5."/>
      <w:lvlJc w:val="left"/>
      <w:pPr>
        <w:tabs>
          <w:tab w:val="num" w:pos="3600"/>
        </w:tabs>
        <w:ind w:left="3600" w:hanging="360"/>
      </w:pPr>
    </w:lvl>
    <w:lvl w:ilvl="5" w:tplc="3756337E" w:tentative="1">
      <w:start w:val="1"/>
      <w:numFmt w:val="decimal"/>
      <w:lvlText w:val="%6."/>
      <w:lvlJc w:val="left"/>
      <w:pPr>
        <w:tabs>
          <w:tab w:val="num" w:pos="4320"/>
        </w:tabs>
        <w:ind w:left="4320" w:hanging="360"/>
      </w:pPr>
    </w:lvl>
    <w:lvl w:ilvl="6" w:tplc="F58CB7CE" w:tentative="1">
      <w:start w:val="1"/>
      <w:numFmt w:val="decimal"/>
      <w:lvlText w:val="%7."/>
      <w:lvlJc w:val="left"/>
      <w:pPr>
        <w:tabs>
          <w:tab w:val="num" w:pos="5040"/>
        </w:tabs>
        <w:ind w:left="5040" w:hanging="360"/>
      </w:pPr>
    </w:lvl>
    <w:lvl w:ilvl="7" w:tplc="E8EAEDCE" w:tentative="1">
      <w:start w:val="1"/>
      <w:numFmt w:val="decimal"/>
      <w:lvlText w:val="%8."/>
      <w:lvlJc w:val="left"/>
      <w:pPr>
        <w:tabs>
          <w:tab w:val="num" w:pos="5760"/>
        </w:tabs>
        <w:ind w:left="5760" w:hanging="360"/>
      </w:pPr>
    </w:lvl>
    <w:lvl w:ilvl="8" w:tplc="AA5C19C4" w:tentative="1">
      <w:start w:val="1"/>
      <w:numFmt w:val="decimal"/>
      <w:lvlText w:val="%9."/>
      <w:lvlJc w:val="left"/>
      <w:pPr>
        <w:tabs>
          <w:tab w:val="num" w:pos="6480"/>
        </w:tabs>
        <w:ind w:left="6480" w:hanging="360"/>
      </w:pPr>
    </w:lvl>
  </w:abstractNum>
  <w:abstractNum w:abstractNumId="14" w15:restartNumberingAfterBreak="0">
    <w:nsid w:val="44193CAE"/>
    <w:multiLevelType w:val="hybridMultilevel"/>
    <w:tmpl w:val="A1D85542"/>
    <w:lvl w:ilvl="0" w:tplc="D19E43F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D70A61"/>
    <w:multiLevelType w:val="hybridMultilevel"/>
    <w:tmpl w:val="A000A3FE"/>
    <w:lvl w:ilvl="0" w:tplc="7D00CCE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F064E"/>
    <w:multiLevelType w:val="hybridMultilevel"/>
    <w:tmpl w:val="FE14E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4E67E4"/>
    <w:multiLevelType w:val="hybridMultilevel"/>
    <w:tmpl w:val="F5F67766"/>
    <w:lvl w:ilvl="0" w:tplc="3CFC22DE">
      <w:numFmt w:val="bullet"/>
      <w:lvlText w:val="-"/>
      <w:lvlJc w:val="left"/>
      <w:pPr>
        <w:ind w:left="1080" w:hanging="360"/>
      </w:pPr>
      <w:rPr>
        <w:rFonts w:ascii="Simplified Arabic" w:eastAsia="Times New Roman" w:hAnsi="Tms Rmn" w:cs="Simplified Arabic"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E922E2"/>
    <w:multiLevelType w:val="hybridMultilevel"/>
    <w:tmpl w:val="E8DCBD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27D3E"/>
    <w:multiLevelType w:val="hybridMultilevel"/>
    <w:tmpl w:val="E098B300"/>
    <w:lvl w:ilvl="0" w:tplc="84E85802">
      <w:numFmt w:val="bullet"/>
      <w:lvlText w:val="-"/>
      <w:lvlJc w:val="left"/>
      <w:pPr>
        <w:ind w:left="1080" w:hanging="360"/>
      </w:pPr>
      <w:rPr>
        <w:rFonts w:ascii="Simplified Arabic" w:eastAsia="Times New Roman" w:hAnsi="Tms Rmn" w:cs="Simplified Arabic"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9"/>
  </w:num>
  <w:num w:numId="3">
    <w:abstractNumId w:val="17"/>
  </w:num>
  <w:num w:numId="4">
    <w:abstractNumId w:val="3"/>
  </w:num>
  <w:num w:numId="5">
    <w:abstractNumId w:val="0"/>
  </w:num>
  <w:num w:numId="6">
    <w:abstractNumId w:val="5"/>
  </w:num>
  <w:num w:numId="7">
    <w:abstractNumId w:val="13"/>
  </w:num>
  <w:num w:numId="8">
    <w:abstractNumId w:val="8"/>
  </w:num>
  <w:num w:numId="9">
    <w:abstractNumId w:val="2"/>
  </w:num>
  <w:num w:numId="10">
    <w:abstractNumId w:val="12"/>
  </w:num>
  <w:num w:numId="11">
    <w:abstractNumId w:val="14"/>
  </w:num>
  <w:num w:numId="12">
    <w:abstractNumId w:val="15"/>
  </w:num>
  <w:num w:numId="13">
    <w:abstractNumId w:val="6"/>
  </w:num>
  <w:num w:numId="14">
    <w:abstractNumId w:val="18"/>
  </w:num>
  <w:num w:numId="15">
    <w:abstractNumId w:val="4"/>
  </w:num>
  <w:num w:numId="16">
    <w:abstractNumId w:val="1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3A"/>
    <w:rsid w:val="00001752"/>
    <w:rsid w:val="0000204F"/>
    <w:rsid w:val="00004CB4"/>
    <w:rsid w:val="00011AC4"/>
    <w:rsid w:val="00011E8F"/>
    <w:rsid w:val="0001220D"/>
    <w:rsid w:val="000151D4"/>
    <w:rsid w:val="00015506"/>
    <w:rsid w:val="00020108"/>
    <w:rsid w:val="00024B5D"/>
    <w:rsid w:val="00030766"/>
    <w:rsid w:val="00031D73"/>
    <w:rsid w:val="000347E7"/>
    <w:rsid w:val="0004358F"/>
    <w:rsid w:val="000446C0"/>
    <w:rsid w:val="0004525C"/>
    <w:rsid w:val="00045511"/>
    <w:rsid w:val="00067DA2"/>
    <w:rsid w:val="00084563"/>
    <w:rsid w:val="00092E1D"/>
    <w:rsid w:val="000956B0"/>
    <w:rsid w:val="000A394F"/>
    <w:rsid w:val="000B1177"/>
    <w:rsid w:val="000B1366"/>
    <w:rsid w:val="000B1C8B"/>
    <w:rsid w:val="000B5C98"/>
    <w:rsid w:val="000C0326"/>
    <w:rsid w:val="000C2F88"/>
    <w:rsid w:val="000D0473"/>
    <w:rsid w:val="000D76BD"/>
    <w:rsid w:val="000D7FA5"/>
    <w:rsid w:val="000E403A"/>
    <w:rsid w:val="000E4E75"/>
    <w:rsid w:val="000E58CB"/>
    <w:rsid w:val="000E705C"/>
    <w:rsid w:val="000E7FA4"/>
    <w:rsid w:val="000F2BC6"/>
    <w:rsid w:val="00101524"/>
    <w:rsid w:val="0010182F"/>
    <w:rsid w:val="00103846"/>
    <w:rsid w:val="001071D3"/>
    <w:rsid w:val="00107CE4"/>
    <w:rsid w:val="001218EF"/>
    <w:rsid w:val="00121D91"/>
    <w:rsid w:val="00121FD5"/>
    <w:rsid w:val="00122B7F"/>
    <w:rsid w:val="00122C5E"/>
    <w:rsid w:val="00126987"/>
    <w:rsid w:val="00127699"/>
    <w:rsid w:val="0012782F"/>
    <w:rsid w:val="0013030B"/>
    <w:rsid w:val="00134186"/>
    <w:rsid w:val="001343D3"/>
    <w:rsid w:val="001364CA"/>
    <w:rsid w:val="0014176E"/>
    <w:rsid w:val="001445A3"/>
    <w:rsid w:val="001461A7"/>
    <w:rsid w:val="00146C62"/>
    <w:rsid w:val="00155779"/>
    <w:rsid w:val="0016306F"/>
    <w:rsid w:val="00171B6A"/>
    <w:rsid w:val="00176DCC"/>
    <w:rsid w:val="001869FB"/>
    <w:rsid w:val="00191F4A"/>
    <w:rsid w:val="00193409"/>
    <w:rsid w:val="00193CF4"/>
    <w:rsid w:val="00193FEB"/>
    <w:rsid w:val="001943D4"/>
    <w:rsid w:val="001A74D3"/>
    <w:rsid w:val="001D24F0"/>
    <w:rsid w:val="001D291F"/>
    <w:rsid w:val="001D378A"/>
    <w:rsid w:val="001D3AE3"/>
    <w:rsid w:val="001D6860"/>
    <w:rsid w:val="001F341F"/>
    <w:rsid w:val="001F4F73"/>
    <w:rsid w:val="001F6E78"/>
    <w:rsid w:val="00205363"/>
    <w:rsid w:val="00212221"/>
    <w:rsid w:val="00222360"/>
    <w:rsid w:val="0022686F"/>
    <w:rsid w:val="002303BC"/>
    <w:rsid w:val="0023648B"/>
    <w:rsid w:val="00251E6B"/>
    <w:rsid w:val="00263571"/>
    <w:rsid w:val="002703B8"/>
    <w:rsid w:val="0027309D"/>
    <w:rsid w:val="0028175B"/>
    <w:rsid w:val="00286187"/>
    <w:rsid w:val="00286F9C"/>
    <w:rsid w:val="00291489"/>
    <w:rsid w:val="002951D0"/>
    <w:rsid w:val="002A150F"/>
    <w:rsid w:val="002A7B76"/>
    <w:rsid w:val="002B6815"/>
    <w:rsid w:val="002C5BD4"/>
    <w:rsid w:val="002D6978"/>
    <w:rsid w:val="002D6E12"/>
    <w:rsid w:val="002E1093"/>
    <w:rsid w:val="002E1B9F"/>
    <w:rsid w:val="002E2E31"/>
    <w:rsid w:val="002E4C31"/>
    <w:rsid w:val="002F030F"/>
    <w:rsid w:val="002F1D6F"/>
    <w:rsid w:val="00304E30"/>
    <w:rsid w:val="003069E9"/>
    <w:rsid w:val="00316975"/>
    <w:rsid w:val="00320540"/>
    <w:rsid w:val="00323E91"/>
    <w:rsid w:val="00335183"/>
    <w:rsid w:val="003362AB"/>
    <w:rsid w:val="003434DE"/>
    <w:rsid w:val="003438D7"/>
    <w:rsid w:val="0034660C"/>
    <w:rsid w:val="00350F64"/>
    <w:rsid w:val="00351F05"/>
    <w:rsid w:val="0035550B"/>
    <w:rsid w:val="0035778F"/>
    <w:rsid w:val="003616CC"/>
    <w:rsid w:val="00371C83"/>
    <w:rsid w:val="00372BBF"/>
    <w:rsid w:val="00373A2C"/>
    <w:rsid w:val="00387856"/>
    <w:rsid w:val="00392A65"/>
    <w:rsid w:val="00393B05"/>
    <w:rsid w:val="00397F84"/>
    <w:rsid w:val="003A37BB"/>
    <w:rsid w:val="003B1930"/>
    <w:rsid w:val="003B1FBF"/>
    <w:rsid w:val="003B324B"/>
    <w:rsid w:val="003B472C"/>
    <w:rsid w:val="003C0903"/>
    <w:rsid w:val="003C0A4F"/>
    <w:rsid w:val="003C1598"/>
    <w:rsid w:val="003C7CAE"/>
    <w:rsid w:val="003D0970"/>
    <w:rsid w:val="003D4527"/>
    <w:rsid w:val="003E12BB"/>
    <w:rsid w:val="003F0FA3"/>
    <w:rsid w:val="003F1123"/>
    <w:rsid w:val="003F32D0"/>
    <w:rsid w:val="0040138F"/>
    <w:rsid w:val="0040418A"/>
    <w:rsid w:val="00404F66"/>
    <w:rsid w:val="00405DF0"/>
    <w:rsid w:val="00414F57"/>
    <w:rsid w:val="0041553C"/>
    <w:rsid w:val="00417088"/>
    <w:rsid w:val="004210D0"/>
    <w:rsid w:val="00424B0B"/>
    <w:rsid w:val="004259A2"/>
    <w:rsid w:val="00426F4C"/>
    <w:rsid w:val="00431BB9"/>
    <w:rsid w:val="0043222A"/>
    <w:rsid w:val="00441643"/>
    <w:rsid w:val="00441C99"/>
    <w:rsid w:val="004441E3"/>
    <w:rsid w:val="00447111"/>
    <w:rsid w:val="004651BB"/>
    <w:rsid w:val="004654DA"/>
    <w:rsid w:val="00465905"/>
    <w:rsid w:val="00474059"/>
    <w:rsid w:val="00492D0D"/>
    <w:rsid w:val="004A008F"/>
    <w:rsid w:val="004A40C2"/>
    <w:rsid w:val="004A5524"/>
    <w:rsid w:val="004A7BFA"/>
    <w:rsid w:val="004B0FC1"/>
    <w:rsid w:val="004B130E"/>
    <w:rsid w:val="004C0EFD"/>
    <w:rsid w:val="004C28B7"/>
    <w:rsid w:val="004C58C8"/>
    <w:rsid w:val="004D0FFE"/>
    <w:rsid w:val="004D11BC"/>
    <w:rsid w:val="004D4453"/>
    <w:rsid w:val="004D55C5"/>
    <w:rsid w:val="004D6252"/>
    <w:rsid w:val="004E6391"/>
    <w:rsid w:val="004F0F46"/>
    <w:rsid w:val="004F3A2E"/>
    <w:rsid w:val="004F4B2A"/>
    <w:rsid w:val="004F6543"/>
    <w:rsid w:val="004F7E66"/>
    <w:rsid w:val="00502D4D"/>
    <w:rsid w:val="00504F1A"/>
    <w:rsid w:val="0050569B"/>
    <w:rsid w:val="00505FBB"/>
    <w:rsid w:val="0051297B"/>
    <w:rsid w:val="0052326C"/>
    <w:rsid w:val="005236A7"/>
    <w:rsid w:val="00533CA7"/>
    <w:rsid w:val="005361A7"/>
    <w:rsid w:val="005422F4"/>
    <w:rsid w:val="0054280B"/>
    <w:rsid w:val="00547AC0"/>
    <w:rsid w:val="00550765"/>
    <w:rsid w:val="00567081"/>
    <w:rsid w:val="005703BD"/>
    <w:rsid w:val="0057341C"/>
    <w:rsid w:val="0058165B"/>
    <w:rsid w:val="005873AE"/>
    <w:rsid w:val="0059320D"/>
    <w:rsid w:val="005941A0"/>
    <w:rsid w:val="00595BD4"/>
    <w:rsid w:val="005A0509"/>
    <w:rsid w:val="005A341C"/>
    <w:rsid w:val="005A3B34"/>
    <w:rsid w:val="005A40C4"/>
    <w:rsid w:val="005A7572"/>
    <w:rsid w:val="005C174C"/>
    <w:rsid w:val="005C3C0F"/>
    <w:rsid w:val="005C4791"/>
    <w:rsid w:val="005C51FA"/>
    <w:rsid w:val="005D02AC"/>
    <w:rsid w:val="005D2715"/>
    <w:rsid w:val="005F1EE0"/>
    <w:rsid w:val="005F2361"/>
    <w:rsid w:val="005F6FAF"/>
    <w:rsid w:val="005F7465"/>
    <w:rsid w:val="00600612"/>
    <w:rsid w:val="006016E4"/>
    <w:rsid w:val="00606A26"/>
    <w:rsid w:val="00607B3A"/>
    <w:rsid w:val="00614DC1"/>
    <w:rsid w:val="00616CBE"/>
    <w:rsid w:val="0063326C"/>
    <w:rsid w:val="00633FD3"/>
    <w:rsid w:val="006352C2"/>
    <w:rsid w:val="00643311"/>
    <w:rsid w:val="0064465C"/>
    <w:rsid w:val="0065134C"/>
    <w:rsid w:val="00660BF3"/>
    <w:rsid w:val="00661988"/>
    <w:rsid w:val="006667AF"/>
    <w:rsid w:val="00666DE6"/>
    <w:rsid w:val="006759A0"/>
    <w:rsid w:val="00675B33"/>
    <w:rsid w:val="00692FC2"/>
    <w:rsid w:val="00695633"/>
    <w:rsid w:val="006A21A2"/>
    <w:rsid w:val="006B6197"/>
    <w:rsid w:val="006C05F2"/>
    <w:rsid w:val="006C57EF"/>
    <w:rsid w:val="006D43FC"/>
    <w:rsid w:val="006E02A4"/>
    <w:rsid w:val="006E0F47"/>
    <w:rsid w:val="006F14CA"/>
    <w:rsid w:val="006F30E6"/>
    <w:rsid w:val="006F60B3"/>
    <w:rsid w:val="00700D2F"/>
    <w:rsid w:val="00701499"/>
    <w:rsid w:val="00702DFC"/>
    <w:rsid w:val="0071650B"/>
    <w:rsid w:val="00730BF3"/>
    <w:rsid w:val="00735FE0"/>
    <w:rsid w:val="00744CC6"/>
    <w:rsid w:val="00745B92"/>
    <w:rsid w:val="00750917"/>
    <w:rsid w:val="00753367"/>
    <w:rsid w:val="00754156"/>
    <w:rsid w:val="007603EE"/>
    <w:rsid w:val="0077131E"/>
    <w:rsid w:val="007727DF"/>
    <w:rsid w:val="00790BFB"/>
    <w:rsid w:val="007949DF"/>
    <w:rsid w:val="007955DC"/>
    <w:rsid w:val="00797534"/>
    <w:rsid w:val="007A042C"/>
    <w:rsid w:val="007A1D23"/>
    <w:rsid w:val="007A2302"/>
    <w:rsid w:val="007A5EB0"/>
    <w:rsid w:val="007A735B"/>
    <w:rsid w:val="007B1260"/>
    <w:rsid w:val="007B4C25"/>
    <w:rsid w:val="007B4EF9"/>
    <w:rsid w:val="007C29A6"/>
    <w:rsid w:val="007C5D50"/>
    <w:rsid w:val="007C7555"/>
    <w:rsid w:val="007D3753"/>
    <w:rsid w:val="007D6580"/>
    <w:rsid w:val="007D6D7B"/>
    <w:rsid w:val="007D73AE"/>
    <w:rsid w:val="007F47DE"/>
    <w:rsid w:val="007F600E"/>
    <w:rsid w:val="0080279A"/>
    <w:rsid w:val="00812691"/>
    <w:rsid w:val="008128FC"/>
    <w:rsid w:val="00816E7C"/>
    <w:rsid w:val="00816EBD"/>
    <w:rsid w:val="0081778D"/>
    <w:rsid w:val="008338D3"/>
    <w:rsid w:val="00834E94"/>
    <w:rsid w:val="0084050C"/>
    <w:rsid w:val="00841D7D"/>
    <w:rsid w:val="00844EC8"/>
    <w:rsid w:val="0084717E"/>
    <w:rsid w:val="00853E76"/>
    <w:rsid w:val="00857B0A"/>
    <w:rsid w:val="008654A0"/>
    <w:rsid w:val="008705AD"/>
    <w:rsid w:val="00880E91"/>
    <w:rsid w:val="00883A78"/>
    <w:rsid w:val="00887262"/>
    <w:rsid w:val="008A763B"/>
    <w:rsid w:val="008A795D"/>
    <w:rsid w:val="008B0137"/>
    <w:rsid w:val="008B0B1C"/>
    <w:rsid w:val="008B12EB"/>
    <w:rsid w:val="008B16A3"/>
    <w:rsid w:val="008B308C"/>
    <w:rsid w:val="008B4FCD"/>
    <w:rsid w:val="008C1441"/>
    <w:rsid w:val="008C2607"/>
    <w:rsid w:val="008C542E"/>
    <w:rsid w:val="008C70A9"/>
    <w:rsid w:val="008D3F1B"/>
    <w:rsid w:val="008D7D34"/>
    <w:rsid w:val="008E3794"/>
    <w:rsid w:val="008E4385"/>
    <w:rsid w:val="008E5235"/>
    <w:rsid w:val="008F1A81"/>
    <w:rsid w:val="008F28E5"/>
    <w:rsid w:val="008F7867"/>
    <w:rsid w:val="00903616"/>
    <w:rsid w:val="009046C5"/>
    <w:rsid w:val="00905D53"/>
    <w:rsid w:val="00906717"/>
    <w:rsid w:val="00911123"/>
    <w:rsid w:val="009176CC"/>
    <w:rsid w:val="00927223"/>
    <w:rsid w:val="00927693"/>
    <w:rsid w:val="0093328E"/>
    <w:rsid w:val="00940FB0"/>
    <w:rsid w:val="00950BA3"/>
    <w:rsid w:val="009565AF"/>
    <w:rsid w:val="009639A4"/>
    <w:rsid w:val="009704B6"/>
    <w:rsid w:val="00972E7E"/>
    <w:rsid w:val="00984156"/>
    <w:rsid w:val="0099116D"/>
    <w:rsid w:val="00991D37"/>
    <w:rsid w:val="0099702C"/>
    <w:rsid w:val="009A0441"/>
    <w:rsid w:val="009B0BFC"/>
    <w:rsid w:val="009B429B"/>
    <w:rsid w:val="009B4C1B"/>
    <w:rsid w:val="009B5CBE"/>
    <w:rsid w:val="009B5CDF"/>
    <w:rsid w:val="009B6402"/>
    <w:rsid w:val="009E303C"/>
    <w:rsid w:val="009E41CD"/>
    <w:rsid w:val="009F6AC3"/>
    <w:rsid w:val="00A034D4"/>
    <w:rsid w:val="00A10FC3"/>
    <w:rsid w:val="00A11949"/>
    <w:rsid w:val="00A12A02"/>
    <w:rsid w:val="00A20060"/>
    <w:rsid w:val="00A2033A"/>
    <w:rsid w:val="00A220EA"/>
    <w:rsid w:val="00A25A71"/>
    <w:rsid w:val="00A3221E"/>
    <w:rsid w:val="00A45928"/>
    <w:rsid w:val="00A54D7E"/>
    <w:rsid w:val="00A65753"/>
    <w:rsid w:val="00A7140B"/>
    <w:rsid w:val="00A72021"/>
    <w:rsid w:val="00A746B3"/>
    <w:rsid w:val="00A80CD2"/>
    <w:rsid w:val="00A80D7F"/>
    <w:rsid w:val="00A81838"/>
    <w:rsid w:val="00A83670"/>
    <w:rsid w:val="00A85DBB"/>
    <w:rsid w:val="00A86F9A"/>
    <w:rsid w:val="00A94FDF"/>
    <w:rsid w:val="00AA32E3"/>
    <w:rsid w:val="00AA6169"/>
    <w:rsid w:val="00AA6E9D"/>
    <w:rsid w:val="00AB30B6"/>
    <w:rsid w:val="00AB7F60"/>
    <w:rsid w:val="00AC0E53"/>
    <w:rsid w:val="00AC2209"/>
    <w:rsid w:val="00AC2346"/>
    <w:rsid w:val="00AD179F"/>
    <w:rsid w:val="00AD32BA"/>
    <w:rsid w:val="00AE0764"/>
    <w:rsid w:val="00AF0895"/>
    <w:rsid w:val="00AF20C2"/>
    <w:rsid w:val="00B106F8"/>
    <w:rsid w:val="00B11283"/>
    <w:rsid w:val="00B12D25"/>
    <w:rsid w:val="00B130D9"/>
    <w:rsid w:val="00B142A1"/>
    <w:rsid w:val="00B17636"/>
    <w:rsid w:val="00B177F6"/>
    <w:rsid w:val="00B234FB"/>
    <w:rsid w:val="00B23DA7"/>
    <w:rsid w:val="00B25CEC"/>
    <w:rsid w:val="00B26C51"/>
    <w:rsid w:val="00B27794"/>
    <w:rsid w:val="00B3009A"/>
    <w:rsid w:val="00B3080B"/>
    <w:rsid w:val="00B40936"/>
    <w:rsid w:val="00B431C3"/>
    <w:rsid w:val="00B44648"/>
    <w:rsid w:val="00B559CC"/>
    <w:rsid w:val="00B55D12"/>
    <w:rsid w:val="00B71F95"/>
    <w:rsid w:val="00B76E13"/>
    <w:rsid w:val="00B77D93"/>
    <w:rsid w:val="00B802D5"/>
    <w:rsid w:val="00B80449"/>
    <w:rsid w:val="00B81632"/>
    <w:rsid w:val="00B82EDF"/>
    <w:rsid w:val="00B84242"/>
    <w:rsid w:val="00B90BC4"/>
    <w:rsid w:val="00B9105B"/>
    <w:rsid w:val="00B91B42"/>
    <w:rsid w:val="00B94E61"/>
    <w:rsid w:val="00B9655D"/>
    <w:rsid w:val="00B974AD"/>
    <w:rsid w:val="00BA0A97"/>
    <w:rsid w:val="00BA3026"/>
    <w:rsid w:val="00BA370A"/>
    <w:rsid w:val="00BA72AD"/>
    <w:rsid w:val="00BA7F01"/>
    <w:rsid w:val="00BC2FAA"/>
    <w:rsid w:val="00BC5CDF"/>
    <w:rsid w:val="00BC6585"/>
    <w:rsid w:val="00BC69C0"/>
    <w:rsid w:val="00BC6A84"/>
    <w:rsid w:val="00BD1E8F"/>
    <w:rsid w:val="00BD395A"/>
    <w:rsid w:val="00BD3D97"/>
    <w:rsid w:val="00BE0466"/>
    <w:rsid w:val="00BE3BBC"/>
    <w:rsid w:val="00BE4ACD"/>
    <w:rsid w:val="00BE64A8"/>
    <w:rsid w:val="00BE721E"/>
    <w:rsid w:val="00BF19B0"/>
    <w:rsid w:val="00BF612E"/>
    <w:rsid w:val="00BF6D5F"/>
    <w:rsid w:val="00C0388E"/>
    <w:rsid w:val="00C03D04"/>
    <w:rsid w:val="00C12227"/>
    <w:rsid w:val="00C142F6"/>
    <w:rsid w:val="00C15F8A"/>
    <w:rsid w:val="00C1631D"/>
    <w:rsid w:val="00C1735B"/>
    <w:rsid w:val="00C17D51"/>
    <w:rsid w:val="00C26E7B"/>
    <w:rsid w:val="00C27728"/>
    <w:rsid w:val="00C279D4"/>
    <w:rsid w:val="00C31413"/>
    <w:rsid w:val="00C34228"/>
    <w:rsid w:val="00C41B4B"/>
    <w:rsid w:val="00C43AE8"/>
    <w:rsid w:val="00C452DE"/>
    <w:rsid w:val="00C46E20"/>
    <w:rsid w:val="00C501C3"/>
    <w:rsid w:val="00C5054B"/>
    <w:rsid w:val="00C56039"/>
    <w:rsid w:val="00C62FD2"/>
    <w:rsid w:val="00C6390F"/>
    <w:rsid w:val="00C70F32"/>
    <w:rsid w:val="00C7160F"/>
    <w:rsid w:val="00C90940"/>
    <w:rsid w:val="00C932FC"/>
    <w:rsid w:val="00C97374"/>
    <w:rsid w:val="00C978E3"/>
    <w:rsid w:val="00CA0A5F"/>
    <w:rsid w:val="00CA27AE"/>
    <w:rsid w:val="00CA4226"/>
    <w:rsid w:val="00CA515D"/>
    <w:rsid w:val="00CA6632"/>
    <w:rsid w:val="00CB3E70"/>
    <w:rsid w:val="00CC02FF"/>
    <w:rsid w:val="00CC0E04"/>
    <w:rsid w:val="00CC311E"/>
    <w:rsid w:val="00CC3BA7"/>
    <w:rsid w:val="00CC48F1"/>
    <w:rsid w:val="00CC5826"/>
    <w:rsid w:val="00CC5ED6"/>
    <w:rsid w:val="00CE6783"/>
    <w:rsid w:val="00CF6BD3"/>
    <w:rsid w:val="00D043A5"/>
    <w:rsid w:val="00D2467B"/>
    <w:rsid w:val="00D24879"/>
    <w:rsid w:val="00D2712E"/>
    <w:rsid w:val="00D31E7E"/>
    <w:rsid w:val="00D41923"/>
    <w:rsid w:val="00D45C2A"/>
    <w:rsid w:val="00D47011"/>
    <w:rsid w:val="00D53170"/>
    <w:rsid w:val="00D55F5C"/>
    <w:rsid w:val="00D63852"/>
    <w:rsid w:val="00D63BB5"/>
    <w:rsid w:val="00D65EF8"/>
    <w:rsid w:val="00D71489"/>
    <w:rsid w:val="00D74EE7"/>
    <w:rsid w:val="00D86A1C"/>
    <w:rsid w:val="00D87C3F"/>
    <w:rsid w:val="00DA27CC"/>
    <w:rsid w:val="00DB08D2"/>
    <w:rsid w:val="00DB3548"/>
    <w:rsid w:val="00DB5A9A"/>
    <w:rsid w:val="00DB6AC7"/>
    <w:rsid w:val="00DC0A3D"/>
    <w:rsid w:val="00DC0C9E"/>
    <w:rsid w:val="00DC1F2A"/>
    <w:rsid w:val="00DC2233"/>
    <w:rsid w:val="00DC7770"/>
    <w:rsid w:val="00DD2683"/>
    <w:rsid w:val="00DD5DAF"/>
    <w:rsid w:val="00DE0DC8"/>
    <w:rsid w:val="00DE2F88"/>
    <w:rsid w:val="00DE3B37"/>
    <w:rsid w:val="00DF4216"/>
    <w:rsid w:val="00E04B05"/>
    <w:rsid w:val="00E05ED3"/>
    <w:rsid w:val="00E1177D"/>
    <w:rsid w:val="00E11B9A"/>
    <w:rsid w:val="00E216B9"/>
    <w:rsid w:val="00E240CC"/>
    <w:rsid w:val="00E276B9"/>
    <w:rsid w:val="00E31C10"/>
    <w:rsid w:val="00E3512C"/>
    <w:rsid w:val="00E35F4A"/>
    <w:rsid w:val="00E450B0"/>
    <w:rsid w:val="00E62F42"/>
    <w:rsid w:val="00E729F6"/>
    <w:rsid w:val="00E8598B"/>
    <w:rsid w:val="00E875E1"/>
    <w:rsid w:val="00EA3619"/>
    <w:rsid w:val="00EA4003"/>
    <w:rsid w:val="00EB2E26"/>
    <w:rsid w:val="00EC07CC"/>
    <w:rsid w:val="00EC0D3A"/>
    <w:rsid w:val="00EC2017"/>
    <w:rsid w:val="00EC6E69"/>
    <w:rsid w:val="00EC7686"/>
    <w:rsid w:val="00ED0335"/>
    <w:rsid w:val="00ED28E6"/>
    <w:rsid w:val="00ED47A1"/>
    <w:rsid w:val="00ED4A6C"/>
    <w:rsid w:val="00ED679D"/>
    <w:rsid w:val="00EE78E4"/>
    <w:rsid w:val="00EF1DC1"/>
    <w:rsid w:val="00EF6D35"/>
    <w:rsid w:val="00F01A48"/>
    <w:rsid w:val="00F06B35"/>
    <w:rsid w:val="00F10AF7"/>
    <w:rsid w:val="00F12679"/>
    <w:rsid w:val="00F13649"/>
    <w:rsid w:val="00F166A4"/>
    <w:rsid w:val="00F178FE"/>
    <w:rsid w:val="00F22DE2"/>
    <w:rsid w:val="00F230B7"/>
    <w:rsid w:val="00F23A65"/>
    <w:rsid w:val="00F30E5D"/>
    <w:rsid w:val="00F318A2"/>
    <w:rsid w:val="00F344AA"/>
    <w:rsid w:val="00F40DDF"/>
    <w:rsid w:val="00F50E05"/>
    <w:rsid w:val="00F54DA5"/>
    <w:rsid w:val="00F57D6B"/>
    <w:rsid w:val="00F67588"/>
    <w:rsid w:val="00F67EB1"/>
    <w:rsid w:val="00F72AE6"/>
    <w:rsid w:val="00F737CA"/>
    <w:rsid w:val="00F75329"/>
    <w:rsid w:val="00F806D3"/>
    <w:rsid w:val="00F902DB"/>
    <w:rsid w:val="00F933BB"/>
    <w:rsid w:val="00F94327"/>
    <w:rsid w:val="00FA78AB"/>
    <w:rsid w:val="00FA7957"/>
    <w:rsid w:val="00FB6422"/>
    <w:rsid w:val="00FB70E5"/>
    <w:rsid w:val="00FC2175"/>
    <w:rsid w:val="00FC23F2"/>
    <w:rsid w:val="00FD46E6"/>
    <w:rsid w:val="00FD5296"/>
    <w:rsid w:val="00FD78AB"/>
    <w:rsid w:val="00FE2FDB"/>
    <w:rsid w:val="00FE50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7B2D"/>
  <w15:docId w15:val="{A89279A0-F294-495A-964E-C14BB886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03A"/>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2A15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0C2F88"/>
    <w:pPr>
      <w:keepNext/>
      <w:bidi/>
      <w:jc w:val="center"/>
      <w:outlineLvl w:val="1"/>
    </w:pPr>
    <w:rPr>
      <w:rFonts w:cs="Simplified Arabic"/>
      <w:b/>
      <w:bCs/>
      <w:sz w:val="20"/>
      <w:szCs w:val="32"/>
      <w:u w:val="single"/>
    </w:rPr>
  </w:style>
  <w:style w:type="paragraph" w:styleId="Heading3">
    <w:name w:val="heading 3"/>
    <w:basedOn w:val="Normal"/>
    <w:next w:val="Normal"/>
    <w:link w:val="Heading3Char"/>
    <w:unhideWhenUsed/>
    <w:qFormat/>
    <w:rsid w:val="002A150F"/>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sid w:val="000E403A"/>
    <w:rPr>
      <w:rFonts w:ascii="Arial Black" w:hAnsi="Arial Black"/>
      <w:sz w:val="18"/>
      <w:szCs w:val="21"/>
    </w:rPr>
  </w:style>
  <w:style w:type="character" w:styleId="Hyperlink">
    <w:name w:val="Hyperlink"/>
    <w:basedOn w:val="DefaultParagraphFont"/>
    <w:uiPriority w:val="99"/>
    <w:unhideWhenUsed/>
    <w:rsid w:val="00392A65"/>
    <w:rPr>
      <w:color w:val="0000FF" w:themeColor="hyperlink"/>
      <w:u w:val="single"/>
    </w:rPr>
  </w:style>
  <w:style w:type="paragraph" w:styleId="ListParagraph">
    <w:name w:val="List Paragraph"/>
    <w:basedOn w:val="Normal"/>
    <w:link w:val="ListParagraphChar"/>
    <w:uiPriority w:val="34"/>
    <w:qFormat/>
    <w:rsid w:val="008338D3"/>
    <w:pPr>
      <w:ind w:left="720"/>
      <w:contextualSpacing/>
    </w:pPr>
  </w:style>
  <w:style w:type="character" w:styleId="Strong">
    <w:name w:val="Strong"/>
    <w:basedOn w:val="DefaultParagraphFont"/>
    <w:uiPriority w:val="22"/>
    <w:qFormat/>
    <w:rsid w:val="003069E9"/>
    <w:rPr>
      <w:b/>
      <w:bCs/>
    </w:rPr>
  </w:style>
  <w:style w:type="paragraph" w:customStyle="1" w:styleId="PressReleaseNormal">
    <w:name w:val="Press Release Normal"/>
    <w:basedOn w:val="Normal"/>
    <w:link w:val="PressReleaseNormalChar"/>
    <w:rsid w:val="00A2033A"/>
    <w:pPr>
      <w:spacing w:before="240" w:after="240" w:line="360" w:lineRule="auto"/>
      <w:jc w:val="both"/>
    </w:pPr>
    <w:rPr>
      <w:rFonts w:ascii="Garamond" w:hAnsi="Garamond" w:cs="Garamond"/>
      <w:sz w:val="32"/>
      <w:szCs w:val="32"/>
    </w:rPr>
  </w:style>
  <w:style w:type="character" w:customStyle="1" w:styleId="PressReleaseNormalChar">
    <w:name w:val="Press Release Normal Char"/>
    <w:basedOn w:val="DefaultParagraphFont"/>
    <w:link w:val="PressReleaseNormal"/>
    <w:rsid w:val="00A2033A"/>
    <w:rPr>
      <w:rFonts w:ascii="Garamond" w:eastAsia="Times New Roman" w:hAnsi="Garamond" w:cs="Garamond"/>
      <w:sz w:val="32"/>
      <w:szCs w:val="32"/>
    </w:rPr>
  </w:style>
  <w:style w:type="character" w:customStyle="1" w:styleId="Heading2Char">
    <w:name w:val="Heading 2 Char"/>
    <w:basedOn w:val="DefaultParagraphFont"/>
    <w:link w:val="Heading2"/>
    <w:rsid w:val="000C2F88"/>
    <w:rPr>
      <w:rFonts w:ascii="Times New Roman" w:eastAsia="Times New Roman" w:hAnsi="Times New Roman" w:cs="Simplified Arabic"/>
      <w:b/>
      <w:bCs/>
      <w:sz w:val="20"/>
      <w:szCs w:val="32"/>
      <w:u w:val="single"/>
    </w:rPr>
  </w:style>
  <w:style w:type="paragraph" w:customStyle="1" w:styleId="BodyText1">
    <w:name w:val="BodyText 1"/>
    <w:basedOn w:val="Normal"/>
    <w:uiPriority w:val="1"/>
    <w:qFormat/>
    <w:rsid w:val="001445A3"/>
    <w:pPr>
      <w:spacing w:after="220"/>
      <w:jc w:val="both"/>
    </w:pPr>
    <w:rPr>
      <w:lang w:val="en-GB"/>
    </w:rPr>
  </w:style>
  <w:style w:type="paragraph" w:styleId="BalloonText">
    <w:name w:val="Balloon Text"/>
    <w:basedOn w:val="Normal"/>
    <w:link w:val="BalloonTextChar"/>
    <w:uiPriority w:val="99"/>
    <w:semiHidden/>
    <w:unhideWhenUsed/>
    <w:rsid w:val="00D31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E7E"/>
    <w:rPr>
      <w:rFonts w:ascii="Segoe UI" w:eastAsia="Times New Roman" w:hAnsi="Segoe UI" w:cs="Segoe UI"/>
      <w:sz w:val="18"/>
      <w:szCs w:val="18"/>
    </w:rPr>
  </w:style>
  <w:style w:type="paragraph" w:styleId="Header">
    <w:name w:val="header"/>
    <w:basedOn w:val="Normal"/>
    <w:link w:val="HeaderChar"/>
    <w:uiPriority w:val="99"/>
    <w:unhideWhenUsed/>
    <w:rsid w:val="004259A2"/>
    <w:pPr>
      <w:tabs>
        <w:tab w:val="center" w:pos="4680"/>
        <w:tab w:val="right" w:pos="9360"/>
      </w:tabs>
    </w:pPr>
  </w:style>
  <w:style w:type="character" w:customStyle="1" w:styleId="HeaderChar">
    <w:name w:val="Header Char"/>
    <w:basedOn w:val="DefaultParagraphFont"/>
    <w:link w:val="Header"/>
    <w:uiPriority w:val="99"/>
    <w:rsid w:val="004259A2"/>
    <w:rPr>
      <w:rFonts w:ascii="Times New Roman" w:eastAsia="Times New Roman" w:hAnsi="Times New Roman" w:cs="Times New Roman"/>
      <w:szCs w:val="24"/>
    </w:rPr>
  </w:style>
  <w:style w:type="paragraph" w:styleId="Footer">
    <w:name w:val="footer"/>
    <w:basedOn w:val="Normal"/>
    <w:link w:val="FooterChar"/>
    <w:uiPriority w:val="99"/>
    <w:unhideWhenUsed/>
    <w:rsid w:val="004259A2"/>
    <w:pPr>
      <w:tabs>
        <w:tab w:val="center" w:pos="4680"/>
        <w:tab w:val="right" w:pos="9360"/>
      </w:tabs>
    </w:pPr>
  </w:style>
  <w:style w:type="character" w:customStyle="1" w:styleId="FooterChar">
    <w:name w:val="Footer Char"/>
    <w:basedOn w:val="DefaultParagraphFont"/>
    <w:link w:val="Footer"/>
    <w:uiPriority w:val="99"/>
    <w:rsid w:val="004259A2"/>
    <w:rPr>
      <w:rFonts w:ascii="Times New Roman" w:eastAsia="Times New Roman" w:hAnsi="Times New Roman" w:cs="Times New Roman"/>
      <w:szCs w:val="24"/>
    </w:rPr>
  </w:style>
  <w:style w:type="paragraph" w:styleId="NoSpacing">
    <w:name w:val="No Spacing"/>
    <w:uiPriority w:val="1"/>
    <w:qFormat/>
    <w:rsid w:val="002E1093"/>
    <w:pPr>
      <w:spacing w:after="0" w:line="240" w:lineRule="auto"/>
    </w:pPr>
    <w:rPr>
      <w:rFonts w:ascii="Times New Roman" w:eastAsia="Times New Roman" w:hAnsi="Times New Roman" w:cs="Times New Roman"/>
      <w:szCs w:val="24"/>
    </w:rPr>
  </w:style>
  <w:style w:type="paragraph" w:customStyle="1" w:styleId="MainText">
    <w:name w:val="Main Text"/>
    <w:basedOn w:val="Normal"/>
    <w:qFormat/>
    <w:rsid w:val="00C62FD2"/>
    <w:pPr>
      <w:spacing w:after="240" w:line="360" w:lineRule="auto"/>
      <w:jc w:val="both"/>
    </w:pPr>
    <w:rPr>
      <w:rFonts w:asciiTheme="majorHAnsi" w:eastAsiaTheme="minorHAnsi" w:hAnsiTheme="majorHAnsi" w:cstheme="minorBidi"/>
      <w:color w:val="404040" w:themeColor="text1" w:themeTint="BF"/>
      <w:sz w:val="24"/>
    </w:rPr>
  </w:style>
  <w:style w:type="paragraph" w:styleId="NormalWeb">
    <w:name w:val="Normal (Web)"/>
    <w:basedOn w:val="Normal"/>
    <w:uiPriority w:val="99"/>
    <w:unhideWhenUsed/>
    <w:rsid w:val="003B1FBF"/>
    <w:pPr>
      <w:spacing w:before="100" w:beforeAutospacing="1" w:after="100" w:afterAutospacing="1"/>
    </w:pPr>
    <w:rPr>
      <w:rFonts w:eastAsiaTheme="minorEastAsia"/>
      <w:sz w:val="24"/>
    </w:rPr>
  </w:style>
  <w:style w:type="character" w:customStyle="1" w:styleId="Body">
    <w:name w:val="Body"/>
    <w:uiPriority w:val="99"/>
    <w:rsid w:val="004F7E66"/>
    <w:rPr>
      <w:rFonts w:ascii="Frutiger LT Std 45 Light" w:hAnsi="Frutiger LT Std 45 Light" w:cs="Frutiger LT Std 45 Light"/>
      <w:lang w:val="en-US"/>
    </w:rPr>
  </w:style>
  <w:style w:type="character" w:customStyle="1" w:styleId="ListParagraphChar">
    <w:name w:val="List Paragraph Char"/>
    <w:link w:val="ListParagraph"/>
    <w:uiPriority w:val="34"/>
    <w:locked/>
    <w:rsid w:val="00903616"/>
    <w:rPr>
      <w:rFonts w:ascii="Times New Roman" w:eastAsia="Times New Roman" w:hAnsi="Times New Roman" w:cs="Times New Roman"/>
      <w:szCs w:val="24"/>
    </w:rPr>
  </w:style>
  <w:style w:type="character" w:customStyle="1" w:styleId="Heading1Char">
    <w:name w:val="Heading 1 Char"/>
    <w:basedOn w:val="DefaultParagraphFont"/>
    <w:link w:val="Heading1"/>
    <w:rsid w:val="002A150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2A150F"/>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2A15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7373">
      <w:bodyDiv w:val="1"/>
      <w:marLeft w:val="0"/>
      <w:marRight w:val="0"/>
      <w:marTop w:val="0"/>
      <w:marBottom w:val="0"/>
      <w:divBdr>
        <w:top w:val="none" w:sz="0" w:space="0" w:color="auto"/>
        <w:left w:val="none" w:sz="0" w:space="0" w:color="auto"/>
        <w:bottom w:val="none" w:sz="0" w:space="0" w:color="auto"/>
        <w:right w:val="none" w:sz="0" w:space="0" w:color="auto"/>
      </w:divBdr>
    </w:div>
    <w:div w:id="361782726">
      <w:bodyDiv w:val="1"/>
      <w:marLeft w:val="0"/>
      <w:marRight w:val="0"/>
      <w:marTop w:val="0"/>
      <w:marBottom w:val="0"/>
      <w:divBdr>
        <w:top w:val="none" w:sz="0" w:space="0" w:color="auto"/>
        <w:left w:val="none" w:sz="0" w:space="0" w:color="auto"/>
        <w:bottom w:val="none" w:sz="0" w:space="0" w:color="auto"/>
        <w:right w:val="none" w:sz="0" w:space="0" w:color="auto"/>
      </w:divBdr>
    </w:div>
    <w:div w:id="525827172">
      <w:bodyDiv w:val="1"/>
      <w:marLeft w:val="0"/>
      <w:marRight w:val="0"/>
      <w:marTop w:val="0"/>
      <w:marBottom w:val="0"/>
      <w:divBdr>
        <w:top w:val="none" w:sz="0" w:space="0" w:color="auto"/>
        <w:left w:val="none" w:sz="0" w:space="0" w:color="auto"/>
        <w:bottom w:val="none" w:sz="0" w:space="0" w:color="auto"/>
        <w:right w:val="none" w:sz="0" w:space="0" w:color="auto"/>
      </w:divBdr>
    </w:div>
    <w:div w:id="526605537">
      <w:bodyDiv w:val="1"/>
      <w:marLeft w:val="0"/>
      <w:marRight w:val="0"/>
      <w:marTop w:val="0"/>
      <w:marBottom w:val="0"/>
      <w:divBdr>
        <w:top w:val="none" w:sz="0" w:space="0" w:color="auto"/>
        <w:left w:val="none" w:sz="0" w:space="0" w:color="auto"/>
        <w:bottom w:val="none" w:sz="0" w:space="0" w:color="auto"/>
        <w:right w:val="none" w:sz="0" w:space="0" w:color="auto"/>
      </w:divBdr>
    </w:div>
    <w:div w:id="605504306">
      <w:bodyDiv w:val="1"/>
      <w:marLeft w:val="0"/>
      <w:marRight w:val="0"/>
      <w:marTop w:val="0"/>
      <w:marBottom w:val="0"/>
      <w:divBdr>
        <w:top w:val="none" w:sz="0" w:space="0" w:color="auto"/>
        <w:left w:val="none" w:sz="0" w:space="0" w:color="auto"/>
        <w:bottom w:val="none" w:sz="0" w:space="0" w:color="auto"/>
        <w:right w:val="none" w:sz="0" w:space="0" w:color="auto"/>
      </w:divBdr>
      <w:divsChild>
        <w:div w:id="472793610">
          <w:marLeft w:val="0"/>
          <w:marRight w:val="0"/>
          <w:marTop w:val="0"/>
          <w:marBottom w:val="0"/>
          <w:divBdr>
            <w:top w:val="none" w:sz="0" w:space="0" w:color="auto"/>
            <w:left w:val="none" w:sz="0" w:space="0" w:color="auto"/>
            <w:bottom w:val="none" w:sz="0" w:space="0" w:color="auto"/>
            <w:right w:val="none" w:sz="0" w:space="0" w:color="auto"/>
          </w:divBdr>
          <w:divsChild>
            <w:div w:id="209637">
              <w:marLeft w:val="0"/>
              <w:marRight w:val="0"/>
              <w:marTop w:val="0"/>
              <w:marBottom w:val="0"/>
              <w:divBdr>
                <w:top w:val="none" w:sz="0" w:space="0" w:color="auto"/>
                <w:left w:val="none" w:sz="0" w:space="0" w:color="auto"/>
                <w:bottom w:val="none" w:sz="0" w:space="0" w:color="auto"/>
                <w:right w:val="none" w:sz="0" w:space="0" w:color="auto"/>
              </w:divBdr>
              <w:divsChild>
                <w:div w:id="2028363843">
                  <w:marLeft w:val="0"/>
                  <w:marRight w:val="0"/>
                  <w:marTop w:val="0"/>
                  <w:marBottom w:val="0"/>
                  <w:divBdr>
                    <w:top w:val="none" w:sz="0" w:space="0" w:color="auto"/>
                    <w:left w:val="none" w:sz="0" w:space="0" w:color="auto"/>
                    <w:bottom w:val="none" w:sz="0" w:space="0" w:color="auto"/>
                    <w:right w:val="none" w:sz="0" w:space="0" w:color="auto"/>
                  </w:divBdr>
                  <w:divsChild>
                    <w:div w:id="46033577">
                      <w:marLeft w:val="0"/>
                      <w:marRight w:val="0"/>
                      <w:marTop w:val="0"/>
                      <w:marBottom w:val="0"/>
                      <w:divBdr>
                        <w:top w:val="none" w:sz="0" w:space="0" w:color="auto"/>
                        <w:left w:val="none" w:sz="0" w:space="0" w:color="auto"/>
                        <w:bottom w:val="none" w:sz="0" w:space="0" w:color="auto"/>
                        <w:right w:val="none" w:sz="0" w:space="0" w:color="auto"/>
                      </w:divBdr>
                      <w:divsChild>
                        <w:div w:id="5220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777825">
      <w:bodyDiv w:val="1"/>
      <w:marLeft w:val="0"/>
      <w:marRight w:val="0"/>
      <w:marTop w:val="0"/>
      <w:marBottom w:val="0"/>
      <w:divBdr>
        <w:top w:val="none" w:sz="0" w:space="0" w:color="auto"/>
        <w:left w:val="none" w:sz="0" w:space="0" w:color="auto"/>
        <w:bottom w:val="none" w:sz="0" w:space="0" w:color="auto"/>
        <w:right w:val="none" w:sz="0" w:space="0" w:color="auto"/>
      </w:divBdr>
    </w:div>
    <w:div w:id="702096852">
      <w:bodyDiv w:val="1"/>
      <w:marLeft w:val="0"/>
      <w:marRight w:val="0"/>
      <w:marTop w:val="0"/>
      <w:marBottom w:val="0"/>
      <w:divBdr>
        <w:top w:val="none" w:sz="0" w:space="0" w:color="auto"/>
        <w:left w:val="none" w:sz="0" w:space="0" w:color="auto"/>
        <w:bottom w:val="none" w:sz="0" w:space="0" w:color="auto"/>
        <w:right w:val="none" w:sz="0" w:space="0" w:color="auto"/>
      </w:divBdr>
    </w:div>
    <w:div w:id="1011570656">
      <w:bodyDiv w:val="1"/>
      <w:marLeft w:val="0"/>
      <w:marRight w:val="0"/>
      <w:marTop w:val="0"/>
      <w:marBottom w:val="0"/>
      <w:divBdr>
        <w:top w:val="none" w:sz="0" w:space="0" w:color="auto"/>
        <w:left w:val="none" w:sz="0" w:space="0" w:color="auto"/>
        <w:bottom w:val="none" w:sz="0" w:space="0" w:color="auto"/>
        <w:right w:val="none" w:sz="0" w:space="0" w:color="auto"/>
      </w:divBdr>
    </w:div>
    <w:div w:id="1031034185">
      <w:bodyDiv w:val="1"/>
      <w:marLeft w:val="0"/>
      <w:marRight w:val="0"/>
      <w:marTop w:val="0"/>
      <w:marBottom w:val="0"/>
      <w:divBdr>
        <w:top w:val="none" w:sz="0" w:space="0" w:color="auto"/>
        <w:left w:val="none" w:sz="0" w:space="0" w:color="auto"/>
        <w:bottom w:val="none" w:sz="0" w:space="0" w:color="auto"/>
        <w:right w:val="none" w:sz="0" w:space="0" w:color="auto"/>
      </w:divBdr>
    </w:div>
    <w:div w:id="1441027145">
      <w:bodyDiv w:val="1"/>
      <w:marLeft w:val="0"/>
      <w:marRight w:val="0"/>
      <w:marTop w:val="0"/>
      <w:marBottom w:val="0"/>
      <w:divBdr>
        <w:top w:val="none" w:sz="0" w:space="0" w:color="auto"/>
        <w:left w:val="none" w:sz="0" w:space="0" w:color="auto"/>
        <w:bottom w:val="none" w:sz="0" w:space="0" w:color="auto"/>
        <w:right w:val="none" w:sz="0" w:space="0" w:color="auto"/>
      </w:divBdr>
    </w:div>
    <w:div w:id="1541167451">
      <w:bodyDiv w:val="1"/>
      <w:marLeft w:val="0"/>
      <w:marRight w:val="0"/>
      <w:marTop w:val="0"/>
      <w:marBottom w:val="0"/>
      <w:divBdr>
        <w:top w:val="none" w:sz="0" w:space="0" w:color="auto"/>
        <w:left w:val="none" w:sz="0" w:space="0" w:color="auto"/>
        <w:bottom w:val="none" w:sz="0" w:space="0" w:color="auto"/>
        <w:right w:val="none" w:sz="0" w:space="0" w:color="auto"/>
      </w:divBdr>
    </w:div>
    <w:div w:id="1560551916">
      <w:bodyDiv w:val="1"/>
      <w:marLeft w:val="0"/>
      <w:marRight w:val="0"/>
      <w:marTop w:val="0"/>
      <w:marBottom w:val="0"/>
      <w:divBdr>
        <w:top w:val="none" w:sz="0" w:space="0" w:color="auto"/>
        <w:left w:val="none" w:sz="0" w:space="0" w:color="auto"/>
        <w:bottom w:val="none" w:sz="0" w:space="0" w:color="auto"/>
        <w:right w:val="none" w:sz="0" w:space="0" w:color="auto"/>
      </w:divBdr>
    </w:div>
    <w:div w:id="1610626065">
      <w:bodyDiv w:val="1"/>
      <w:marLeft w:val="0"/>
      <w:marRight w:val="0"/>
      <w:marTop w:val="0"/>
      <w:marBottom w:val="0"/>
      <w:divBdr>
        <w:top w:val="none" w:sz="0" w:space="0" w:color="auto"/>
        <w:left w:val="none" w:sz="0" w:space="0" w:color="auto"/>
        <w:bottom w:val="none" w:sz="0" w:space="0" w:color="auto"/>
        <w:right w:val="none" w:sz="0" w:space="0" w:color="auto"/>
      </w:divBdr>
    </w:div>
    <w:div w:id="19019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94EB6-5A3A-4802-B499-8557920F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QP</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22539 Hanaa Tayseer Al Thalathiny</dc:creator>
  <cp:lastModifiedBy>Riaz-ur-rehman Khan</cp:lastModifiedBy>
  <cp:revision>10</cp:revision>
  <cp:lastPrinted>2020-09-13T13:49:00Z</cp:lastPrinted>
  <dcterms:created xsi:type="dcterms:W3CDTF">2020-04-12T06:11:00Z</dcterms:created>
  <dcterms:modified xsi:type="dcterms:W3CDTF">2020-09-13T13:49:00Z</dcterms:modified>
</cp:coreProperties>
</file>