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0B" w:rsidRDefault="00B6660B" w:rsidP="00FC051A">
      <w:pPr>
        <w:spacing w:before="240"/>
        <w:jc w:val="center"/>
        <w:rPr>
          <w:rFonts w:ascii="Tahoma" w:hAnsi="Tahoma" w:cs="Simplified Arabic"/>
          <w:b/>
          <w:bCs/>
          <w:color w:val="FF0000"/>
          <w:u w:val="single"/>
          <w:rtl/>
          <w:lang w:bidi="ar-JO"/>
        </w:rPr>
      </w:pPr>
    </w:p>
    <w:p w:rsidR="00B6660B" w:rsidRPr="00A23436" w:rsidRDefault="00B6660B" w:rsidP="00B6660B">
      <w:pPr>
        <w:spacing w:before="240"/>
        <w:jc w:val="center"/>
        <w:rPr>
          <w:rFonts w:ascii="Tahoma" w:hAnsi="Tahoma" w:cs="Simplified Arabic"/>
          <w:b/>
          <w:bCs/>
          <w:color w:val="215868" w:themeColor="accent5" w:themeShade="80"/>
          <w:sz w:val="28"/>
          <w:szCs w:val="28"/>
          <w:u w:val="single"/>
          <w:rtl/>
          <w:lang w:bidi="ar-JO"/>
        </w:rPr>
      </w:pPr>
      <w:r w:rsidRPr="00A23436">
        <w:rPr>
          <w:rFonts w:ascii="Tahoma" w:hAnsi="Tahoma" w:cs="Simplified Arabic" w:hint="cs"/>
          <w:b/>
          <w:bCs/>
          <w:color w:val="215868" w:themeColor="accent5" w:themeShade="80"/>
          <w:sz w:val="28"/>
          <w:szCs w:val="28"/>
          <w:u w:val="single"/>
          <w:rtl/>
          <w:lang w:bidi="ar-JO"/>
        </w:rPr>
        <w:t>البورصة تستلم البيانات الختامية عن السنة المالية 2017</w:t>
      </w:r>
    </w:p>
    <w:p w:rsidR="00B6660B" w:rsidRPr="00A23436" w:rsidRDefault="00B6660B" w:rsidP="003643DF">
      <w:pPr>
        <w:spacing w:before="240"/>
        <w:jc w:val="center"/>
        <w:rPr>
          <w:rFonts w:ascii="Tahoma" w:hAnsi="Tahoma" w:cs="Simplified Arabic"/>
          <w:b/>
          <w:bCs/>
          <w:sz w:val="36"/>
          <w:szCs w:val="36"/>
          <w:rtl/>
          <w:lang w:bidi="ar-JO"/>
        </w:rPr>
      </w:pPr>
      <w:r w:rsidRPr="00A23436">
        <w:rPr>
          <w:rFonts w:ascii="Tahoma" w:hAnsi="Tahoma" w:cs="Simplified Arabic" w:hint="cs"/>
          <w:b/>
          <w:bCs/>
          <w:sz w:val="36"/>
          <w:szCs w:val="36"/>
          <w:rtl/>
          <w:lang w:bidi="ar-JO"/>
        </w:rPr>
        <w:t xml:space="preserve">التقارير السنوية للشركات المدرجة تكشف عن حصيلة أرباح محققة بلغت ما يقارب </w:t>
      </w:r>
      <w:r w:rsidR="003643DF" w:rsidRPr="00A23436">
        <w:rPr>
          <w:rFonts w:ascii="Tahoma" w:hAnsi="Tahoma" w:cs="Simplified Arabic" w:hint="cs"/>
          <w:b/>
          <w:bCs/>
          <w:sz w:val="36"/>
          <w:szCs w:val="36"/>
          <w:rtl/>
          <w:lang w:bidi="ar-JO"/>
        </w:rPr>
        <w:t>291</w:t>
      </w:r>
      <w:r w:rsidRPr="00A23436">
        <w:rPr>
          <w:rFonts w:ascii="Tahoma" w:hAnsi="Tahoma" w:cs="Simplified Arabic" w:hint="cs"/>
          <w:b/>
          <w:bCs/>
          <w:sz w:val="36"/>
          <w:szCs w:val="36"/>
          <w:rtl/>
          <w:lang w:bidi="ar-JO"/>
        </w:rPr>
        <w:t xml:space="preserve"> مليون دولار</w:t>
      </w:r>
    </w:p>
    <w:p w:rsidR="009151AE" w:rsidRDefault="00FC051A" w:rsidP="00A23436">
      <w:pPr>
        <w:spacing w:before="240"/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>أ</w:t>
      </w:r>
      <w:r w:rsidRPr="003D03C8">
        <w:rPr>
          <w:rFonts w:cs="Simplified Arabic" w:hint="cs"/>
          <w:rtl/>
          <w:lang w:bidi="ar-JO"/>
        </w:rPr>
        <w:t xml:space="preserve">علن </w:t>
      </w:r>
      <w:r>
        <w:rPr>
          <w:rFonts w:cs="Simplified Arabic" w:hint="cs"/>
          <w:rtl/>
          <w:lang w:bidi="ar-JO"/>
        </w:rPr>
        <w:t>الرئيس التنفيذي لبورصة فلسطين السيد أحمد عويضه</w:t>
      </w:r>
      <w:r w:rsidR="002E7973">
        <w:rPr>
          <w:rFonts w:cs="Simplified Arabic" w:hint="cs"/>
          <w:rtl/>
          <w:lang w:bidi="ar-JO"/>
        </w:rPr>
        <w:t xml:space="preserve"> اليوم </w:t>
      </w:r>
      <w:r w:rsidR="00BE4FBA">
        <w:rPr>
          <w:rFonts w:cs="Simplified Arabic" w:hint="cs"/>
          <w:rtl/>
          <w:lang w:bidi="ar-JO"/>
        </w:rPr>
        <w:t>الثلاثاء</w:t>
      </w:r>
      <w:r w:rsidR="002E7973">
        <w:rPr>
          <w:rFonts w:cs="Simplified Arabic" w:hint="cs"/>
          <w:rtl/>
          <w:lang w:bidi="ar-JO"/>
        </w:rPr>
        <w:t xml:space="preserve"> </w:t>
      </w:r>
      <w:r w:rsidR="00BE4FBA">
        <w:rPr>
          <w:rFonts w:cs="Simplified Arabic" w:hint="cs"/>
          <w:rtl/>
          <w:lang w:bidi="ar-JO"/>
        </w:rPr>
        <w:t>17</w:t>
      </w:r>
      <w:r w:rsidR="002E7973">
        <w:rPr>
          <w:rFonts w:cs="Simplified Arabic" w:hint="cs"/>
          <w:rtl/>
          <w:lang w:bidi="ar-JO"/>
        </w:rPr>
        <w:t>/04/</w:t>
      </w:r>
      <w:r w:rsidR="009151AE">
        <w:rPr>
          <w:rFonts w:cs="Simplified Arabic" w:hint="cs"/>
          <w:rtl/>
          <w:lang w:bidi="ar-JO"/>
        </w:rPr>
        <w:t>2018</w:t>
      </w:r>
      <w:r>
        <w:rPr>
          <w:rFonts w:cs="Simplified Arabic" w:hint="cs"/>
          <w:rtl/>
          <w:lang w:bidi="ar-JO"/>
        </w:rPr>
        <w:t xml:space="preserve"> عن انتهاء المرحلة الأخيرة من عملية الإفصاح للعام </w:t>
      </w:r>
      <w:r w:rsidR="009151AE">
        <w:rPr>
          <w:rFonts w:cs="Simplified Arabic" w:hint="cs"/>
          <w:rtl/>
          <w:lang w:bidi="ar-JO"/>
        </w:rPr>
        <w:t>2017</w:t>
      </w:r>
      <w:r>
        <w:rPr>
          <w:rFonts w:cs="Simplified Arabic" w:hint="cs"/>
          <w:rtl/>
          <w:lang w:bidi="ar-JO"/>
        </w:rPr>
        <w:t xml:space="preserve"> والمتمثلة بالبيانات المالية الختامية المدققة عبر التقارير السنوية للشركات المدرجة في البورصة والبالغ عددها </w:t>
      </w:r>
      <w:r w:rsidR="009151AE">
        <w:rPr>
          <w:rFonts w:cs="Simplified Arabic" w:hint="cs"/>
          <w:rtl/>
          <w:lang w:bidi="ar-JO"/>
        </w:rPr>
        <w:t xml:space="preserve">48 شركة، </w:t>
      </w:r>
      <w:r w:rsidR="00511A28">
        <w:rPr>
          <w:rFonts w:cs="Simplified Arabic" w:hint="cs"/>
          <w:rtl/>
          <w:lang w:bidi="ar-JO"/>
        </w:rPr>
        <w:t>حيث</w:t>
      </w:r>
      <w:r w:rsidR="009151AE">
        <w:rPr>
          <w:rFonts w:cs="Simplified Arabic" w:hint="cs"/>
          <w:rtl/>
          <w:lang w:bidi="ar-JO"/>
        </w:rPr>
        <w:t xml:space="preserve"> </w:t>
      </w:r>
      <w:r w:rsidR="00511A28">
        <w:rPr>
          <w:rFonts w:cs="Simplified Arabic" w:hint="cs"/>
          <w:rtl/>
          <w:lang w:bidi="ar-JO"/>
        </w:rPr>
        <w:t>انتهت مهلة الإفصاح المقررة عن هذه البيانات</w:t>
      </w:r>
      <w:r w:rsidR="009151AE">
        <w:rPr>
          <w:rFonts w:cs="Simplified Arabic" w:hint="cs"/>
          <w:rtl/>
          <w:lang w:bidi="ar-JO"/>
        </w:rPr>
        <w:t xml:space="preserve"> </w:t>
      </w:r>
      <w:r w:rsidR="00511A28">
        <w:rPr>
          <w:rFonts w:cs="Simplified Arabic" w:hint="cs"/>
          <w:rtl/>
          <w:lang w:bidi="ar-JO"/>
        </w:rPr>
        <w:t>بتاريخ</w:t>
      </w:r>
      <w:r w:rsidR="009151AE">
        <w:rPr>
          <w:rFonts w:cs="Simplified Arabic" w:hint="cs"/>
          <w:rtl/>
          <w:lang w:bidi="ar-JO"/>
        </w:rPr>
        <w:t xml:space="preserve"> </w:t>
      </w:r>
      <w:r w:rsidR="00A23436">
        <w:rPr>
          <w:rFonts w:cs="Simplified Arabic" w:hint="cs"/>
          <w:rtl/>
          <w:lang w:bidi="ar-JO"/>
        </w:rPr>
        <w:t>01</w:t>
      </w:r>
      <w:r>
        <w:rPr>
          <w:rFonts w:cs="Simplified Arabic" w:hint="cs"/>
          <w:rtl/>
          <w:lang w:bidi="ar-JO"/>
        </w:rPr>
        <w:t>/</w:t>
      </w:r>
      <w:r w:rsidR="00A23436">
        <w:rPr>
          <w:rFonts w:cs="Simplified Arabic" w:hint="cs"/>
          <w:rtl/>
          <w:lang w:bidi="ar-JO"/>
        </w:rPr>
        <w:t>04</w:t>
      </w:r>
      <w:r>
        <w:rPr>
          <w:rFonts w:cs="Simplified Arabic" w:hint="cs"/>
          <w:rtl/>
          <w:lang w:bidi="ar-JO"/>
        </w:rPr>
        <w:t>/</w:t>
      </w:r>
      <w:r w:rsidR="009151AE">
        <w:rPr>
          <w:rFonts w:cs="Simplified Arabic" w:hint="cs"/>
          <w:rtl/>
          <w:lang w:bidi="ar-JO"/>
        </w:rPr>
        <w:t>2018</w:t>
      </w:r>
      <w:r>
        <w:rPr>
          <w:rFonts w:cs="Simplified Arabic" w:hint="cs"/>
          <w:rtl/>
          <w:lang w:bidi="ar-JO"/>
        </w:rPr>
        <w:t xml:space="preserve">. </w:t>
      </w:r>
      <w:r w:rsidR="009151AE">
        <w:rPr>
          <w:rFonts w:cs="Simplified Arabic" w:hint="cs"/>
          <w:rtl/>
          <w:lang w:bidi="ar-JO"/>
        </w:rPr>
        <w:t xml:space="preserve">بواقع أرباح بلغت ما يقارب </w:t>
      </w:r>
      <w:r w:rsidR="00BE4FBA">
        <w:rPr>
          <w:rFonts w:cs="Simplified Arabic" w:hint="cs"/>
          <w:rtl/>
          <w:lang w:bidi="ar-JO"/>
        </w:rPr>
        <w:t>291</w:t>
      </w:r>
      <w:r w:rsidR="009151AE">
        <w:rPr>
          <w:rFonts w:cs="Simplified Arabic" w:hint="cs"/>
          <w:rtl/>
          <w:lang w:bidi="ar-JO"/>
        </w:rPr>
        <w:t xml:space="preserve"> مليون دولار أمريكي في ظل التزام بتلك العملية وصلت نسبته الى </w:t>
      </w:r>
      <w:r w:rsidR="00BE4FBA">
        <w:rPr>
          <w:rFonts w:cs="Simplified Arabic" w:hint="cs"/>
          <w:rtl/>
          <w:lang w:bidi="ar-JO"/>
        </w:rPr>
        <w:t>88</w:t>
      </w:r>
      <w:r w:rsidR="009151AE">
        <w:rPr>
          <w:rFonts w:cs="Simplified Arabic" w:hint="cs"/>
          <w:rtl/>
          <w:lang w:bidi="ar-JO"/>
        </w:rPr>
        <w:t xml:space="preserve">% من إجمالي عدد الشركات المدرجة حيث أفصحت </w:t>
      </w:r>
      <w:r w:rsidR="00BE4FBA">
        <w:rPr>
          <w:rFonts w:cs="Simplified Arabic" w:hint="cs"/>
          <w:rtl/>
          <w:lang w:bidi="ar-JO"/>
        </w:rPr>
        <w:t>44</w:t>
      </w:r>
      <w:r w:rsidR="009151AE">
        <w:rPr>
          <w:rFonts w:cs="Simplified Arabic" w:hint="cs"/>
          <w:rtl/>
          <w:lang w:bidi="ar-JO"/>
        </w:rPr>
        <w:t xml:space="preserve"> شركة </w:t>
      </w:r>
      <w:r w:rsidR="00511A28">
        <w:rPr>
          <w:rFonts w:cs="Simplified Arabic" w:hint="cs"/>
          <w:rtl/>
          <w:lang w:bidi="ar-JO"/>
        </w:rPr>
        <w:t xml:space="preserve">عن تقريرها السنوي </w:t>
      </w:r>
      <w:r w:rsidR="009151AE">
        <w:rPr>
          <w:rFonts w:cs="Simplified Arabic" w:hint="cs"/>
          <w:rtl/>
          <w:lang w:bidi="ar-JO"/>
        </w:rPr>
        <w:t xml:space="preserve">فيما تبقت </w:t>
      </w:r>
      <w:r w:rsidR="00BE4FBA">
        <w:rPr>
          <w:rFonts w:cs="Simplified Arabic" w:hint="cs"/>
          <w:rtl/>
          <w:lang w:bidi="ar-JO"/>
        </w:rPr>
        <w:t>4</w:t>
      </w:r>
      <w:r w:rsidR="009151AE">
        <w:rPr>
          <w:rFonts w:cs="Simplified Arabic" w:hint="cs"/>
          <w:rtl/>
          <w:lang w:bidi="ar-JO"/>
        </w:rPr>
        <w:t xml:space="preserve"> شركات </w:t>
      </w:r>
      <w:r w:rsidR="00511A28">
        <w:rPr>
          <w:rFonts w:cs="Simplified Arabic" w:hint="cs"/>
          <w:rtl/>
          <w:lang w:bidi="ar-JO"/>
        </w:rPr>
        <w:t xml:space="preserve">متأخرة </w:t>
      </w:r>
      <w:r w:rsidR="009151AE">
        <w:rPr>
          <w:rFonts w:cs="Simplified Arabic" w:hint="cs"/>
          <w:rtl/>
          <w:lang w:bidi="ar-JO"/>
        </w:rPr>
        <w:t>لغاية اللحظة.</w:t>
      </w:r>
    </w:p>
    <w:p w:rsidR="007240CC" w:rsidRDefault="00FC051A" w:rsidP="00C31400">
      <w:pPr>
        <w:spacing w:before="240"/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ووفقا لتلك البيانات فقد بلغت حصيلة أرباح الشركات المدرجة عن السنة المالية </w:t>
      </w:r>
      <w:r w:rsidR="007240CC">
        <w:rPr>
          <w:rFonts w:cs="Simplified Arabic" w:hint="cs"/>
          <w:rtl/>
          <w:lang w:bidi="ar-JO"/>
        </w:rPr>
        <w:t>2017</w:t>
      </w:r>
      <w:r>
        <w:rPr>
          <w:rFonts w:cs="Simplified Arabic" w:hint="cs"/>
          <w:rtl/>
          <w:lang w:bidi="ar-JO"/>
        </w:rPr>
        <w:t xml:space="preserve"> بعد الضريبة </w:t>
      </w:r>
      <w:r w:rsidR="00BE4FBA" w:rsidRPr="00BE4FBA">
        <w:rPr>
          <w:rFonts w:cs="Simplified Arabic"/>
          <w:rtl/>
          <w:lang w:bidi="ar-JO"/>
        </w:rPr>
        <w:t xml:space="preserve">291,059,174 </w:t>
      </w:r>
      <w:r>
        <w:rPr>
          <w:rFonts w:cs="Simplified Arabic" w:hint="cs"/>
          <w:rtl/>
          <w:lang w:bidi="ar-JO"/>
        </w:rPr>
        <w:t xml:space="preserve">دولار أمريكي بارتفاع نسبته </w:t>
      </w:r>
      <w:r w:rsidR="00BE4FBA">
        <w:rPr>
          <w:rFonts w:cs="Simplified Arabic" w:hint="cs"/>
          <w:rtl/>
          <w:lang w:bidi="ar-JO"/>
        </w:rPr>
        <w:t>2</w:t>
      </w:r>
      <w:r>
        <w:rPr>
          <w:rFonts w:cs="Simplified Arabic" w:hint="cs"/>
          <w:rtl/>
          <w:lang w:bidi="ar-JO"/>
        </w:rPr>
        <w:t>.</w:t>
      </w:r>
      <w:r w:rsidR="00BE4FBA">
        <w:rPr>
          <w:rFonts w:cs="Simplified Arabic" w:hint="cs"/>
          <w:rtl/>
          <w:lang w:bidi="ar-JO"/>
        </w:rPr>
        <w:t>05</w:t>
      </w:r>
      <w:r>
        <w:rPr>
          <w:rFonts w:cs="Simplified Arabic" w:hint="cs"/>
          <w:rtl/>
          <w:lang w:bidi="ar-JO"/>
        </w:rPr>
        <w:t xml:space="preserve">% عن صافي الأرباح المحققة في العام </w:t>
      </w:r>
      <w:r w:rsidR="007240CC">
        <w:rPr>
          <w:rFonts w:cs="Simplified Arabic" w:hint="cs"/>
          <w:rtl/>
          <w:lang w:bidi="ar-JO"/>
        </w:rPr>
        <w:t>2016</w:t>
      </w:r>
      <w:r>
        <w:rPr>
          <w:rFonts w:cs="Simplified Arabic" w:hint="cs"/>
          <w:rtl/>
          <w:lang w:bidi="ar-JO"/>
        </w:rPr>
        <w:t xml:space="preserve"> </w:t>
      </w:r>
      <w:r w:rsidR="002E7973">
        <w:rPr>
          <w:rFonts w:cs="Simplified Arabic" w:hint="cs"/>
          <w:rtl/>
          <w:lang w:bidi="ar-JO"/>
        </w:rPr>
        <w:t>والتي</w:t>
      </w:r>
      <w:r>
        <w:rPr>
          <w:rFonts w:cs="Simplified Arabic" w:hint="cs"/>
          <w:rtl/>
          <w:lang w:bidi="ar-JO"/>
        </w:rPr>
        <w:t xml:space="preserve"> بلغت قيمته</w:t>
      </w:r>
      <w:r w:rsidR="002E7973">
        <w:rPr>
          <w:rFonts w:cs="Simplified Arabic" w:hint="cs"/>
          <w:rtl/>
          <w:lang w:bidi="ar-JO"/>
        </w:rPr>
        <w:t>ا</w:t>
      </w:r>
      <w:r>
        <w:rPr>
          <w:rFonts w:cs="Simplified Arabic" w:hint="cs"/>
          <w:rtl/>
          <w:lang w:bidi="ar-JO"/>
        </w:rPr>
        <w:t xml:space="preserve"> </w:t>
      </w:r>
      <w:r w:rsidR="00C07492" w:rsidRPr="00C07492">
        <w:rPr>
          <w:rFonts w:cs="Simplified Arabic"/>
          <w:rtl/>
          <w:lang w:bidi="ar-JO"/>
        </w:rPr>
        <w:t xml:space="preserve">285,209,602 </w:t>
      </w:r>
      <w:r>
        <w:rPr>
          <w:rFonts w:cs="Simplified Arabic" w:hint="cs"/>
          <w:rtl/>
          <w:lang w:bidi="ar-JO"/>
        </w:rPr>
        <w:t xml:space="preserve">دولار، وقد شكلت الشركات الرابحة ما نسبته </w:t>
      </w:r>
      <w:r w:rsidR="007240CC">
        <w:rPr>
          <w:rFonts w:cs="Simplified Arabic" w:hint="cs"/>
          <w:rtl/>
          <w:lang w:bidi="ar-JO"/>
        </w:rPr>
        <w:t>88</w:t>
      </w:r>
      <w:r>
        <w:rPr>
          <w:rFonts w:cs="Simplified Arabic" w:hint="cs"/>
          <w:rtl/>
          <w:lang w:bidi="ar-JO"/>
        </w:rPr>
        <w:t>.</w:t>
      </w:r>
      <w:r w:rsidR="00C07492">
        <w:rPr>
          <w:rFonts w:cs="Simplified Arabic" w:hint="cs"/>
          <w:rtl/>
          <w:lang w:bidi="ar-JO"/>
        </w:rPr>
        <w:t>64</w:t>
      </w:r>
      <w:r>
        <w:rPr>
          <w:rFonts w:cs="Simplified Arabic" w:hint="cs"/>
          <w:rtl/>
          <w:lang w:bidi="ar-JO"/>
        </w:rPr>
        <w:t xml:space="preserve">% من إجمالي عدد الشركات المفصحة بواقع </w:t>
      </w:r>
      <w:r w:rsidR="00C07492">
        <w:rPr>
          <w:rFonts w:cs="Simplified Arabic" w:hint="cs"/>
          <w:rtl/>
          <w:lang w:bidi="ar-JO"/>
        </w:rPr>
        <w:t>39</w:t>
      </w:r>
      <w:r>
        <w:rPr>
          <w:rFonts w:cs="Simplified Arabic" w:hint="cs"/>
          <w:rtl/>
          <w:lang w:bidi="ar-JO"/>
        </w:rPr>
        <w:t xml:space="preserve"> شركة بقيمة بلغت </w:t>
      </w:r>
      <w:r w:rsidR="00C07492" w:rsidRPr="00C07492">
        <w:rPr>
          <w:rFonts w:cs="Simplified Arabic"/>
          <w:rtl/>
          <w:lang w:bidi="ar-JO"/>
        </w:rPr>
        <w:t xml:space="preserve">319,142,508 </w:t>
      </w:r>
      <w:r>
        <w:rPr>
          <w:rFonts w:cs="Simplified Arabic" w:hint="cs"/>
          <w:rtl/>
          <w:lang w:bidi="ar-JO"/>
        </w:rPr>
        <w:t xml:space="preserve">دولار أمريكي مقارنة مع ما قيمته </w:t>
      </w:r>
      <w:r w:rsidR="00C07492" w:rsidRPr="00C07492">
        <w:rPr>
          <w:rFonts w:cs="Simplified Arabic"/>
          <w:rtl/>
          <w:lang w:bidi="ar-JO"/>
        </w:rPr>
        <w:t xml:space="preserve">295,295,693 </w:t>
      </w:r>
      <w:r>
        <w:rPr>
          <w:rFonts w:cs="Simplified Arabic" w:hint="cs"/>
          <w:rtl/>
          <w:lang w:bidi="ar-JO"/>
        </w:rPr>
        <w:t xml:space="preserve">دولار في العام </w:t>
      </w:r>
      <w:r w:rsidR="007240CC">
        <w:rPr>
          <w:rFonts w:cs="Simplified Arabic" w:hint="cs"/>
          <w:rtl/>
          <w:lang w:bidi="ar-JO"/>
        </w:rPr>
        <w:t>2016</w:t>
      </w:r>
      <w:r>
        <w:rPr>
          <w:rFonts w:cs="Simplified Arabic" w:hint="cs"/>
          <w:rtl/>
          <w:lang w:bidi="ar-JO"/>
        </w:rPr>
        <w:t xml:space="preserve"> بارتفاع نسبته </w:t>
      </w:r>
      <w:r w:rsidR="00C07492">
        <w:rPr>
          <w:rFonts w:cs="Simplified Arabic" w:hint="cs"/>
          <w:rtl/>
          <w:lang w:bidi="ar-JO"/>
        </w:rPr>
        <w:t>8</w:t>
      </w:r>
      <w:r>
        <w:rPr>
          <w:rFonts w:cs="Simplified Arabic" w:hint="cs"/>
          <w:rtl/>
          <w:lang w:bidi="ar-JO"/>
        </w:rPr>
        <w:t>.</w:t>
      </w:r>
      <w:r w:rsidR="00C07492">
        <w:rPr>
          <w:rFonts w:cs="Simplified Arabic" w:hint="cs"/>
          <w:rtl/>
          <w:lang w:bidi="ar-JO"/>
        </w:rPr>
        <w:t>08</w:t>
      </w:r>
      <w:r>
        <w:rPr>
          <w:rFonts w:cs="Simplified Arabic" w:hint="cs"/>
          <w:rtl/>
          <w:lang w:bidi="ar-JO"/>
        </w:rPr>
        <w:t xml:space="preserve">%. في حين حققت </w:t>
      </w:r>
      <w:r w:rsidR="007240CC">
        <w:rPr>
          <w:rFonts w:cs="Simplified Arabic" w:hint="cs"/>
          <w:rtl/>
          <w:lang w:bidi="ar-JO"/>
        </w:rPr>
        <w:t>5</w:t>
      </w:r>
      <w:r>
        <w:rPr>
          <w:rFonts w:cs="Simplified Arabic" w:hint="cs"/>
          <w:rtl/>
          <w:lang w:bidi="ar-JO"/>
        </w:rPr>
        <w:t xml:space="preserve"> شركات خسائر بلغت قيمتها </w:t>
      </w:r>
      <w:r w:rsidR="00C07492" w:rsidRPr="00C07492">
        <w:rPr>
          <w:rFonts w:cs="Simplified Arabic"/>
          <w:rtl/>
          <w:lang w:bidi="ar-JO"/>
        </w:rPr>
        <w:t>(28,083,333)</w:t>
      </w:r>
      <w:r>
        <w:rPr>
          <w:rFonts w:cs="Simplified Arabic" w:hint="cs"/>
          <w:rtl/>
          <w:lang w:bidi="ar-JO"/>
        </w:rPr>
        <w:t xml:space="preserve"> دولار مقارنة مع ما قيمته </w:t>
      </w:r>
      <w:r w:rsidR="00C07492" w:rsidRPr="00C07492">
        <w:rPr>
          <w:rFonts w:cs="Simplified Arabic"/>
          <w:rtl/>
          <w:lang w:bidi="ar-JO"/>
        </w:rPr>
        <w:t>(10,086,091)</w:t>
      </w:r>
      <w:r>
        <w:rPr>
          <w:rFonts w:cs="Simplified Arabic" w:hint="cs"/>
          <w:rtl/>
          <w:lang w:bidi="ar-JO"/>
        </w:rPr>
        <w:t xml:space="preserve"> دولار في العام </w:t>
      </w:r>
      <w:r w:rsidR="007240CC">
        <w:rPr>
          <w:rFonts w:cs="Simplified Arabic" w:hint="cs"/>
          <w:rtl/>
          <w:lang w:bidi="ar-JO"/>
        </w:rPr>
        <w:t>2016</w:t>
      </w:r>
      <w:r>
        <w:rPr>
          <w:rFonts w:cs="Simplified Arabic" w:hint="cs"/>
          <w:rtl/>
          <w:lang w:bidi="ar-JO"/>
        </w:rPr>
        <w:t xml:space="preserve"> بنسبة </w:t>
      </w:r>
      <w:r w:rsidR="007240CC">
        <w:rPr>
          <w:rFonts w:cs="Simplified Arabic" w:hint="cs"/>
          <w:rtl/>
          <w:lang w:bidi="ar-JO"/>
        </w:rPr>
        <w:t>ارتفاع</w:t>
      </w:r>
      <w:r>
        <w:rPr>
          <w:rFonts w:cs="Simplified Arabic" w:hint="cs"/>
          <w:rtl/>
          <w:lang w:bidi="ar-JO"/>
        </w:rPr>
        <w:t xml:space="preserve"> في الخسائر بلغت </w:t>
      </w:r>
      <w:r w:rsidR="007240CC">
        <w:rPr>
          <w:rFonts w:cs="Simplified Arabic" w:hint="cs"/>
          <w:rtl/>
          <w:lang w:bidi="ar-JO"/>
        </w:rPr>
        <w:t>178</w:t>
      </w:r>
      <w:r>
        <w:rPr>
          <w:rFonts w:cs="Simplified Arabic" w:hint="cs"/>
          <w:rtl/>
          <w:lang w:bidi="ar-JO"/>
        </w:rPr>
        <w:t>.</w:t>
      </w:r>
      <w:r w:rsidR="007240CC">
        <w:rPr>
          <w:rFonts w:cs="Simplified Arabic" w:hint="cs"/>
          <w:rtl/>
          <w:lang w:bidi="ar-JO"/>
        </w:rPr>
        <w:t>44</w:t>
      </w:r>
      <w:r>
        <w:rPr>
          <w:rFonts w:cs="Simplified Arabic" w:hint="cs"/>
          <w:rtl/>
          <w:lang w:bidi="ar-JO"/>
        </w:rPr>
        <w:t>%.</w:t>
      </w:r>
      <w:r>
        <w:rPr>
          <w:rFonts w:ascii="Tahoma" w:hAnsi="Tahoma" w:cs="Tahoma" w:hint="cs"/>
          <w:b/>
          <w:bCs/>
          <w:color w:val="FF0000"/>
          <w:sz w:val="22"/>
          <w:szCs w:val="22"/>
          <w:rtl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>بينما</w:t>
      </w:r>
      <w:r w:rsidRPr="006525DC">
        <w:rPr>
          <w:rFonts w:cs="Simplified Arabic" w:hint="cs"/>
          <w:rtl/>
          <w:lang w:bidi="ar-JO"/>
        </w:rPr>
        <w:t xml:space="preserve"> </w:t>
      </w:r>
      <w:r w:rsidR="00270934">
        <w:rPr>
          <w:rFonts w:cs="Simplified Arabic" w:hint="cs"/>
          <w:rtl/>
          <w:lang w:bidi="ar-JO"/>
        </w:rPr>
        <w:t>لم تتمكن</w:t>
      </w:r>
      <w:r w:rsidRPr="006525DC">
        <w:rPr>
          <w:rFonts w:cs="Simplified Arabic" w:hint="cs"/>
          <w:rtl/>
          <w:lang w:bidi="ar-JO"/>
        </w:rPr>
        <w:t xml:space="preserve"> </w:t>
      </w:r>
      <w:r w:rsidR="00C07492">
        <w:rPr>
          <w:rFonts w:cs="Simplified Arabic" w:hint="cs"/>
          <w:rtl/>
          <w:lang w:bidi="ar-JO"/>
        </w:rPr>
        <w:t>4</w:t>
      </w:r>
      <w:r w:rsidRPr="006525DC">
        <w:rPr>
          <w:rFonts w:cs="Simplified Arabic" w:hint="cs"/>
          <w:rtl/>
          <w:lang w:bidi="ar-JO"/>
        </w:rPr>
        <w:t xml:space="preserve"> شركات </w:t>
      </w:r>
      <w:r w:rsidR="0023070B">
        <w:rPr>
          <w:rFonts w:cs="Simplified Arabic" w:hint="cs"/>
          <w:rtl/>
          <w:lang w:bidi="ar-JO"/>
        </w:rPr>
        <w:t>من</w:t>
      </w:r>
      <w:r w:rsidRPr="006525DC">
        <w:rPr>
          <w:rFonts w:cs="Simplified Arabic" w:hint="cs"/>
          <w:rtl/>
          <w:lang w:bidi="ar-JO"/>
        </w:rPr>
        <w:t xml:space="preserve"> تزويد البورصة بالبيانات </w:t>
      </w:r>
      <w:r>
        <w:rPr>
          <w:rFonts w:cs="Simplified Arabic" w:hint="cs"/>
          <w:rtl/>
          <w:lang w:bidi="ar-JO"/>
        </w:rPr>
        <w:t>المطلوبة حتى الآن وهي</w:t>
      </w:r>
      <w:r w:rsidRPr="006525DC">
        <w:rPr>
          <w:rFonts w:cs="Simplified Arabic" w:hint="cs"/>
          <w:rtl/>
          <w:lang w:bidi="ar-JO"/>
        </w:rPr>
        <w:t xml:space="preserve">: </w:t>
      </w:r>
      <w:r>
        <w:rPr>
          <w:rFonts w:cs="Simplified Arabic" w:hint="cs"/>
          <w:rtl/>
          <w:lang w:bidi="ar-JO"/>
        </w:rPr>
        <w:t xml:space="preserve">المؤسسة العقارية العربية، </w:t>
      </w:r>
      <w:r w:rsidRPr="006525DC">
        <w:rPr>
          <w:rFonts w:cs="Simplified Arabic" w:hint="cs"/>
          <w:rtl/>
          <w:lang w:bidi="ar-JO"/>
        </w:rPr>
        <w:t xml:space="preserve">جلوبال كوم للاتصالات، </w:t>
      </w:r>
      <w:r>
        <w:rPr>
          <w:rFonts w:cs="Simplified Arabic" w:hint="cs"/>
          <w:rtl/>
          <w:lang w:bidi="ar-JO"/>
        </w:rPr>
        <w:t>ودار الشفاء لصناعة الأدوية</w:t>
      </w:r>
      <w:r w:rsidR="007240CC">
        <w:rPr>
          <w:rFonts w:cs="Simplified Arabic" w:hint="cs"/>
          <w:rtl/>
          <w:lang w:bidi="ar-JO"/>
        </w:rPr>
        <w:t>، الاتحاد للاعمار والاستثمار.</w:t>
      </w:r>
    </w:p>
    <w:p w:rsidR="00FC051A" w:rsidRPr="004A763F" w:rsidRDefault="007240CC" w:rsidP="00C07492">
      <w:pPr>
        <w:spacing w:before="240"/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أما على مستوى القطاعات، فقد حل قطاع التأمين في المرتبة الأولى بنسبة ارتفاع في الأرباح تخطت حاجز </w:t>
      </w:r>
      <w:r w:rsidR="00C07492">
        <w:rPr>
          <w:rFonts w:cs="Simplified Arabic" w:hint="cs"/>
          <w:rtl/>
          <w:lang w:bidi="ar-JO"/>
        </w:rPr>
        <w:t>58</w:t>
      </w:r>
      <w:r>
        <w:rPr>
          <w:rFonts w:cs="Simplified Arabic" w:hint="cs"/>
          <w:rtl/>
          <w:lang w:bidi="ar-JO"/>
        </w:rPr>
        <w:t xml:space="preserve">% بقيمة أرباح قاربت على </w:t>
      </w:r>
      <w:r w:rsidR="00C07492">
        <w:rPr>
          <w:rFonts w:cs="Simplified Arabic" w:hint="cs"/>
          <w:rtl/>
          <w:lang w:bidi="ar-JO"/>
        </w:rPr>
        <w:t>28</w:t>
      </w:r>
      <w:r>
        <w:rPr>
          <w:rFonts w:cs="Simplified Arabic" w:hint="cs"/>
          <w:rtl/>
          <w:lang w:bidi="ar-JO"/>
        </w:rPr>
        <w:t xml:space="preserve"> مليون دولار، وجاء قطاع الصناعة في المرتبة الثانية بنسبة ارتفاع في الأرباح بلغ</w:t>
      </w:r>
      <w:r w:rsidR="00801BB7">
        <w:rPr>
          <w:rFonts w:cs="Simplified Arabic" w:hint="cs"/>
          <w:rtl/>
          <w:lang w:bidi="ar-JO"/>
        </w:rPr>
        <w:t xml:space="preserve">ت 40.7% وبأرباح قاربت 39 مليون دولار، بينما كان الرابح الأخير على مستوى القطاعات قطاع البنوك والخدمات المالية بارتفاع نسبته 6.55% وبأرباح قاربت على 100 مليون دولار. فيما انخفضت أرباح قطاع الاستثمار بشكل ملحوظ بنسبة وصلت الى ما يقارب 39% وأرباح </w:t>
      </w:r>
      <w:r w:rsidR="00A23436">
        <w:rPr>
          <w:rFonts w:cs="Simplified Arabic" w:hint="cs"/>
          <w:rtl/>
          <w:lang w:bidi="ar-JO"/>
        </w:rPr>
        <w:t xml:space="preserve">محققة </w:t>
      </w:r>
      <w:r w:rsidR="00801BB7">
        <w:rPr>
          <w:rFonts w:cs="Simplified Arabic" w:hint="cs"/>
          <w:rtl/>
          <w:lang w:bidi="ar-JO"/>
        </w:rPr>
        <w:t>قاربت 22 مليون دولار أما قطاع الخدمات فانخفضت أرباحه بنسبة أقل وصلت حوالي 7% وبقيمة</w:t>
      </w:r>
      <w:r w:rsidR="00A23436">
        <w:rPr>
          <w:rFonts w:cs="Simplified Arabic" w:hint="cs"/>
          <w:rtl/>
          <w:lang w:bidi="ar-JO"/>
        </w:rPr>
        <w:t xml:space="preserve"> أرباح محققة</w:t>
      </w:r>
      <w:r w:rsidR="00801BB7">
        <w:rPr>
          <w:rFonts w:cs="Simplified Arabic" w:hint="cs"/>
          <w:rtl/>
          <w:lang w:bidi="ar-JO"/>
        </w:rPr>
        <w:t xml:space="preserve"> بلغت ما يقارب 103 مليون دولار أمريكي.</w:t>
      </w:r>
      <w:r w:rsidR="00EB4846">
        <w:rPr>
          <w:rFonts w:cs="Simplified Arabic" w:hint="cs"/>
          <w:rtl/>
          <w:lang w:bidi="ar-JO"/>
        </w:rPr>
        <w:t xml:space="preserve"> </w:t>
      </w:r>
      <w:r w:rsidR="00FC051A">
        <w:rPr>
          <w:rFonts w:cs="Simplified Arabic" w:hint="cs"/>
          <w:rtl/>
          <w:lang w:bidi="ar-JO"/>
        </w:rPr>
        <w:t xml:space="preserve">وقد </w:t>
      </w:r>
      <w:r w:rsidR="00FC051A" w:rsidRPr="004A763F">
        <w:rPr>
          <w:rFonts w:cs="Simplified Arabic" w:hint="cs"/>
          <w:rtl/>
          <w:lang w:bidi="ar-JO"/>
        </w:rPr>
        <w:t xml:space="preserve">تمّ نشر البيانات المستلمة من الشركات </w:t>
      </w:r>
      <w:r w:rsidR="00FC051A">
        <w:rPr>
          <w:rFonts w:cs="Simplified Arabic" w:hint="cs"/>
          <w:rtl/>
          <w:lang w:bidi="ar-JO"/>
        </w:rPr>
        <w:t xml:space="preserve">لكافة الجهات المعنية </w:t>
      </w:r>
      <w:r w:rsidR="005549A5">
        <w:rPr>
          <w:rFonts w:cs="Simplified Arabic" w:hint="cs"/>
          <w:rtl/>
          <w:lang w:bidi="ar-JO"/>
        </w:rPr>
        <w:t xml:space="preserve">وفق الإجراءات المتبعة </w:t>
      </w:r>
      <w:r w:rsidR="00FC051A">
        <w:rPr>
          <w:rFonts w:cs="Simplified Arabic" w:hint="cs"/>
          <w:rtl/>
          <w:lang w:bidi="ar-JO"/>
        </w:rPr>
        <w:t>عبر</w:t>
      </w:r>
      <w:r w:rsidR="00FC051A" w:rsidRPr="004A763F">
        <w:rPr>
          <w:rFonts w:cs="Simplified Arabic" w:hint="cs"/>
          <w:rtl/>
          <w:lang w:bidi="ar-JO"/>
        </w:rPr>
        <w:t xml:space="preserve"> نظام "</w:t>
      </w:r>
      <w:r w:rsidR="00FC051A" w:rsidRPr="004A763F">
        <w:rPr>
          <w:rFonts w:cs="Simplified Arabic"/>
          <w:lang w:bidi="ar-JO"/>
        </w:rPr>
        <w:t>IFSAH</w:t>
      </w:r>
      <w:r w:rsidR="00FC051A" w:rsidRPr="004A763F">
        <w:rPr>
          <w:rFonts w:cs="Simplified Arabic" w:hint="cs"/>
          <w:rtl/>
          <w:lang w:bidi="ar-JO"/>
        </w:rPr>
        <w:t>" الإلكتروني</w:t>
      </w:r>
      <w:r w:rsidR="00FC051A">
        <w:rPr>
          <w:rFonts w:cs="Simplified Arabic" w:hint="cs"/>
          <w:rtl/>
          <w:lang w:bidi="ar-JO"/>
        </w:rPr>
        <w:t>.</w:t>
      </w:r>
    </w:p>
    <w:p w:rsidR="00FC051A" w:rsidRDefault="00FC051A" w:rsidP="00CA1499">
      <w:pPr>
        <w:spacing w:before="60" w:after="120"/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الى ذلك، فقد أكد عويضه بأن عملية الإفصاح عن البيانات المالية في بورصة فلسطين </w:t>
      </w:r>
      <w:r w:rsidR="00CA1499">
        <w:rPr>
          <w:rFonts w:cs="Simplified Arabic" w:hint="cs"/>
          <w:rtl/>
          <w:lang w:bidi="ar-JO"/>
        </w:rPr>
        <w:t xml:space="preserve">تتم </w:t>
      </w:r>
      <w:r>
        <w:rPr>
          <w:rFonts w:cs="Simplified Arabic" w:hint="cs"/>
          <w:rtl/>
          <w:lang w:bidi="ar-JO"/>
        </w:rPr>
        <w:t>وفق أفضل الممارسات</w:t>
      </w:r>
      <w:r w:rsidR="00CA1499">
        <w:rPr>
          <w:rFonts w:cs="Simplified Arabic" w:hint="cs"/>
          <w:rtl/>
          <w:lang w:bidi="ar-JO"/>
        </w:rPr>
        <w:t>،</w:t>
      </w:r>
      <w:r>
        <w:rPr>
          <w:rFonts w:cs="Simplified Arabic" w:hint="cs"/>
          <w:rtl/>
          <w:lang w:bidi="ar-JO"/>
        </w:rPr>
        <w:t xml:space="preserve"> </w:t>
      </w:r>
      <w:r w:rsidR="00270934">
        <w:rPr>
          <w:rFonts w:cs="Simplified Arabic" w:hint="cs"/>
          <w:rtl/>
          <w:lang w:bidi="ar-JO"/>
        </w:rPr>
        <w:t>و</w:t>
      </w:r>
      <w:r>
        <w:rPr>
          <w:rFonts w:cs="Simplified Arabic" w:hint="cs"/>
          <w:rtl/>
          <w:lang w:bidi="ar-JO"/>
        </w:rPr>
        <w:t xml:space="preserve">تهدف الى تعزيز وترسيخ أسس الحوكمة </w:t>
      </w:r>
      <w:r w:rsidR="002E7973">
        <w:rPr>
          <w:rFonts w:cs="Simplified Arabic" w:hint="cs"/>
          <w:rtl/>
          <w:lang w:bidi="ar-JO"/>
        </w:rPr>
        <w:t>الرشيدة ضمن مكونات قطاع الأوراق</w:t>
      </w:r>
      <w:r>
        <w:rPr>
          <w:rFonts w:cs="Simplified Arabic" w:hint="cs"/>
          <w:rtl/>
          <w:lang w:bidi="ar-JO"/>
        </w:rPr>
        <w:t xml:space="preserve"> المالية الفلسطيني. مشيداً</w:t>
      </w:r>
      <w:r w:rsidR="00EB4846">
        <w:rPr>
          <w:rFonts w:cs="Simplified Arabic" w:hint="cs"/>
          <w:rtl/>
          <w:lang w:bidi="ar-JO"/>
        </w:rPr>
        <w:t xml:space="preserve"> بالأداء المميز لكافة الشركات المدر</w:t>
      </w:r>
      <w:r w:rsidR="00CA1499">
        <w:rPr>
          <w:rFonts w:cs="Simplified Arabic" w:hint="cs"/>
          <w:rtl/>
          <w:lang w:bidi="ar-JO"/>
        </w:rPr>
        <w:t>جة في ظل هذه الظروف الاستثنائية</w:t>
      </w:r>
      <w:r w:rsidR="00EB4846">
        <w:rPr>
          <w:rFonts w:cs="Simplified Arabic" w:hint="cs"/>
          <w:rtl/>
          <w:lang w:bidi="ar-JO"/>
        </w:rPr>
        <w:t>،</w:t>
      </w:r>
      <w:r>
        <w:rPr>
          <w:rFonts w:cs="Simplified Arabic" w:hint="cs"/>
          <w:rtl/>
          <w:lang w:bidi="ar-JO"/>
        </w:rPr>
        <w:t xml:space="preserve"> </w:t>
      </w:r>
      <w:r w:rsidR="00EB4846">
        <w:rPr>
          <w:rFonts w:cs="Simplified Arabic" w:hint="cs"/>
          <w:rtl/>
          <w:lang w:bidi="ar-JO"/>
        </w:rPr>
        <w:t>و</w:t>
      </w:r>
      <w:r>
        <w:rPr>
          <w:rFonts w:cs="Simplified Arabic" w:hint="cs"/>
          <w:rtl/>
          <w:lang w:bidi="ar-JO"/>
        </w:rPr>
        <w:t xml:space="preserve">أعرب عن أمله بأن يحمل العام القادم في طياته ما هو أفضل </w:t>
      </w:r>
      <w:r w:rsidR="002E7973">
        <w:rPr>
          <w:rFonts w:cs="Simplified Arabic" w:hint="cs"/>
          <w:rtl/>
          <w:lang w:bidi="ar-JO"/>
        </w:rPr>
        <w:t>لهذا القطاع</w:t>
      </w:r>
      <w:r>
        <w:rPr>
          <w:rFonts w:cs="Simplified Arabic" w:hint="cs"/>
          <w:rtl/>
          <w:lang w:bidi="ar-JO"/>
        </w:rPr>
        <w:t xml:space="preserve"> </w:t>
      </w:r>
      <w:r w:rsidR="002E7973">
        <w:rPr>
          <w:rFonts w:cs="Simplified Arabic" w:hint="cs"/>
          <w:rtl/>
          <w:lang w:bidi="ar-JO"/>
        </w:rPr>
        <w:t>ول</w:t>
      </w:r>
      <w:r>
        <w:rPr>
          <w:rFonts w:cs="Simplified Arabic" w:hint="cs"/>
          <w:rtl/>
          <w:lang w:bidi="ar-JO"/>
        </w:rPr>
        <w:t xml:space="preserve">لاقتصاد </w:t>
      </w:r>
      <w:r w:rsidR="00270934">
        <w:rPr>
          <w:rFonts w:cs="Simplified Arabic" w:hint="cs"/>
          <w:rtl/>
          <w:lang w:bidi="ar-JO"/>
        </w:rPr>
        <w:t xml:space="preserve">الوطني </w:t>
      </w:r>
      <w:r>
        <w:rPr>
          <w:rFonts w:cs="Simplified Arabic" w:hint="cs"/>
          <w:rtl/>
          <w:lang w:bidi="ar-JO"/>
        </w:rPr>
        <w:t>الفلسطيني بشكل عام.</w:t>
      </w:r>
    </w:p>
    <w:p w:rsidR="00EB4846" w:rsidRDefault="00EB4846" w:rsidP="00EB4846">
      <w:pPr>
        <w:spacing w:before="60" w:after="120"/>
        <w:jc w:val="both"/>
        <w:rPr>
          <w:rFonts w:cs="Simplified Arabic"/>
          <w:rtl/>
          <w:lang w:bidi="ar-JO"/>
        </w:rPr>
      </w:pPr>
    </w:p>
    <w:p w:rsidR="00FC051A" w:rsidRDefault="00FC051A" w:rsidP="002E7973">
      <w:pPr>
        <w:pStyle w:val="ListParagraph"/>
        <w:numPr>
          <w:ilvl w:val="0"/>
          <w:numId w:val="1"/>
        </w:numPr>
        <w:spacing w:before="60" w:after="120"/>
        <w:jc w:val="both"/>
        <w:rPr>
          <w:rFonts w:cs="Simplified Arabic" w:hint="cs"/>
          <w:lang w:bidi="ar-JO"/>
        </w:rPr>
      </w:pPr>
      <w:r w:rsidRPr="002E7973">
        <w:rPr>
          <w:rFonts w:cs="Simplified Arabic" w:hint="cs"/>
          <w:rtl/>
          <w:lang w:bidi="ar-JO"/>
        </w:rPr>
        <w:t xml:space="preserve">للإطلاع على البيانات المالية يرجى زيارة موقع البورصة </w:t>
      </w:r>
      <w:hyperlink r:id="rId8" w:history="1">
        <w:r w:rsidRPr="002E7973">
          <w:rPr>
            <w:rStyle w:val="Hyperlink"/>
            <w:rFonts w:cs="Simplified Arabic"/>
            <w:lang w:bidi="ar-JO"/>
          </w:rPr>
          <w:t>WWW.pex.ps</w:t>
        </w:r>
      </w:hyperlink>
      <w:r w:rsidRPr="002E7973">
        <w:rPr>
          <w:rFonts w:cs="Simplified Arabic"/>
          <w:lang w:bidi="ar-JO"/>
        </w:rPr>
        <w:t xml:space="preserve"> </w:t>
      </w:r>
      <w:r w:rsidRPr="002E7973">
        <w:rPr>
          <w:rFonts w:cs="Simplified Arabic" w:hint="cs"/>
          <w:rtl/>
          <w:lang w:bidi="ar-JO"/>
        </w:rPr>
        <w:t xml:space="preserve"> ، أو من خلال الرابط التالي:</w:t>
      </w:r>
    </w:p>
    <w:p w:rsidR="00A23436" w:rsidRDefault="00A23436" w:rsidP="00A23436">
      <w:pPr>
        <w:spacing w:before="60" w:after="120"/>
        <w:jc w:val="right"/>
        <w:rPr>
          <w:rFonts w:cs="Simplified Arabic" w:hint="cs"/>
          <w:rtl/>
          <w:lang w:bidi="ar-JO"/>
        </w:rPr>
      </w:pPr>
      <w:hyperlink r:id="rId9" w:history="1">
        <w:r w:rsidRPr="00E83EE3">
          <w:rPr>
            <w:rStyle w:val="Hyperlink"/>
            <w:rFonts w:cs="Simplified Arabic"/>
            <w:lang w:bidi="ar-JO"/>
          </w:rPr>
          <w:t>http://www.pex.ps/PSEWEBSITE/NEWS/FS-Annual-Report-2017-Disclosure-Arabic.pdf</w:t>
        </w:r>
      </w:hyperlink>
    </w:p>
    <w:p w:rsidR="00A23436" w:rsidRPr="00A23436" w:rsidRDefault="00A23436" w:rsidP="00A23436">
      <w:pPr>
        <w:spacing w:before="60" w:after="120"/>
        <w:jc w:val="both"/>
        <w:rPr>
          <w:rFonts w:cs="Simplified Arabic" w:hint="cs"/>
          <w:lang w:bidi="ar-JO"/>
        </w:rPr>
      </w:pPr>
    </w:p>
    <w:p w:rsidR="004F0DE3" w:rsidRDefault="004F0DE3" w:rsidP="00FC051A">
      <w:pPr>
        <w:spacing w:before="60" w:after="120"/>
        <w:jc w:val="both"/>
        <w:rPr>
          <w:rFonts w:cs="Simplified Arabic"/>
          <w:rtl/>
          <w:lang w:bidi="ar-JO"/>
        </w:rPr>
      </w:pPr>
    </w:p>
    <w:p w:rsidR="00FC051A" w:rsidRPr="002B4CC2" w:rsidRDefault="00FC051A" w:rsidP="00FC051A">
      <w:pPr>
        <w:spacing w:before="60" w:after="120"/>
        <w:jc w:val="center"/>
        <w:rPr>
          <w:rFonts w:cs="Simplified Arabic"/>
          <w:b/>
          <w:bCs/>
          <w:lang w:bidi="ar-JO"/>
        </w:rPr>
      </w:pPr>
      <w:r w:rsidRPr="002B4CC2">
        <w:rPr>
          <w:rFonts w:cs="Simplified Arabic" w:hint="cs"/>
          <w:b/>
          <w:bCs/>
          <w:rtl/>
          <w:lang w:bidi="ar-JO"/>
        </w:rPr>
        <w:t>انتهى،،،</w:t>
      </w:r>
    </w:p>
    <w:p w:rsidR="00285694" w:rsidRPr="00564628" w:rsidRDefault="00285694" w:rsidP="00564628">
      <w:pPr>
        <w:jc w:val="center"/>
        <w:rPr>
          <w:b/>
          <w:bCs/>
          <w:sz w:val="26"/>
          <w:szCs w:val="26"/>
          <w:rtl/>
        </w:rPr>
      </w:pPr>
    </w:p>
    <w:sectPr w:rsidR="00285694" w:rsidRPr="00564628" w:rsidSect="00EB6A71">
      <w:headerReference w:type="default" r:id="rId10"/>
      <w:footerReference w:type="default" r:id="rId11"/>
      <w:pgSz w:w="11906" w:h="16838"/>
      <w:pgMar w:top="766" w:right="1286" w:bottom="1440" w:left="1350" w:header="9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BA" w:rsidRDefault="00BE4FBA" w:rsidP="008A2C26">
      <w:r>
        <w:separator/>
      </w:r>
    </w:p>
  </w:endnote>
  <w:endnote w:type="continuationSeparator" w:id="0">
    <w:p w:rsidR="00BE4FBA" w:rsidRDefault="00BE4FBA" w:rsidP="008A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BA" w:rsidRPr="008A2C26" w:rsidRDefault="00BE4FBA" w:rsidP="008A2C26">
    <w:pPr>
      <w:pStyle w:val="Footer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-247016</wp:posOffset>
          </wp:positionV>
          <wp:extent cx="7180580" cy="809625"/>
          <wp:effectExtent l="19050" t="0" r="1270" b="0"/>
          <wp:wrapNone/>
          <wp:docPr id="2" name="Picture 2" descr="C:\Users\lina.abudiab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a.abudiab\Desktop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BA" w:rsidRDefault="00BE4FBA" w:rsidP="008A2C26">
      <w:r>
        <w:separator/>
      </w:r>
    </w:p>
  </w:footnote>
  <w:footnote w:type="continuationSeparator" w:id="0">
    <w:p w:rsidR="00BE4FBA" w:rsidRDefault="00BE4FBA" w:rsidP="008A2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BA" w:rsidRDefault="00BE4FBA" w:rsidP="00C03BED">
    <w:pPr>
      <w:pStyle w:val="Header"/>
      <w:tabs>
        <w:tab w:val="clear" w:pos="4320"/>
        <w:tab w:val="clear" w:pos="8640"/>
        <w:tab w:val="left" w:pos="3240"/>
      </w:tabs>
      <w:rPr>
        <w:rtl/>
      </w:rPr>
    </w:pPr>
    <w:r>
      <w:rPr>
        <w:rtl/>
      </w:rPr>
      <w:tab/>
    </w:r>
    <w:r w:rsidRPr="00C03BED">
      <w:rPr>
        <w:noProof/>
        <w:rtl/>
      </w:rPr>
      <w:drawing>
        <wp:inline distT="0" distB="0" distL="0" distR="0">
          <wp:extent cx="6000750" cy="1081242"/>
          <wp:effectExtent l="19050" t="0" r="0" b="0"/>
          <wp:docPr id="9" name="Picture 0" descr="letterhead 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108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4FBA" w:rsidRDefault="00A23436" w:rsidP="00EC4104">
    <w:pPr>
      <w:pStyle w:val="Header"/>
      <w:tabs>
        <w:tab w:val="clear" w:pos="4320"/>
        <w:tab w:val="clear" w:pos="8640"/>
        <w:tab w:val="left" w:pos="3240"/>
      </w:tabs>
      <w:ind w:right="-1350"/>
    </w:pPr>
    <w:r>
      <w:rPr>
        <w:rFonts w:asciiTheme="majorBidi" w:hAnsiTheme="majorBidi" w:cstheme="majorBidi"/>
        <w:b/>
        <w:bCs/>
      </w:rPr>
      <w:t>18</w:t>
    </w:r>
    <w:r w:rsidR="00BE4FBA" w:rsidRPr="00285694">
      <w:rPr>
        <w:rFonts w:asciiTheme="majorBidi" w:hAnsiTheme="majorBidi" w:cstheme="majorBidi"/>
        <w:b/>
        <w:bCs/>
        <w:rtl/>
      </w:rPr>
      <w:t>/</w:t>
    </w:r>
    <w:r w:rsidR="00BE4FBA">
      <w:rPr>
        <w:rFonts w:asciiTheme="majorBidi" w:hAnsiTheme="majorBidi" w:cstheme="majorBidi"/>
        <w:b/>
        <w:bCs/>
      </w:rPr>
      <w:t>04</w:t>
    </w:r>
    <w:r w:rsidR="00BE4FBA" w:rsidRPr="00285694">
      <w:rPr>
        <w:rFonts w:asciiTheme="majorBidi" w:hAnsiTheme="majorBidi" w:cstheme="majorBidi"/>
        <w:b/>
        <w:bCs/>
        <w:rtl/>
      </w:rPr>
      <w:t>/</w:t>
    </w:r>
    <w:r w:rsidR="00BE4FBA">
      <w:rPr>
        <w:rFonts w:asciiTheme="majorBidi" w:hAnsiTheme="majorBidi" w:cstheme="majorBidi" w:hint="cs"/>
        <w:b/>
        <w:bCs/>
        <w:rtl/>
      </w:rPr>
      <w:t>2018</w:t>
    </w:r>
    <w:r w:rsidR="00BE4FBA" w:rsidRPr="00285694">
      <w:rPr>
        <w:rFonts w:asciiTheme="majorBidi" w:hAnsiTheme="majorBidi" w:cstheme="majorBidi"/>
        <w:b/>
        <w:bCs/>
        <w:rtl/>
      </w:rPr>
      <w:t xml:space="preserve">                                                                                                   </w:t>
    </w:r>
    <w:r w:rsidR="00BE4FBA" w:rsidRPr="00285694">
      <w:rPr>
        <w:rFonts w:ascii="Tahoma" w:hAnsi="Tahoma" w:cs="Simplified Arabic"/>
        <w:b/>
        <w:bCs/>
        <w:sz w:val="26"/>
        <w:szCs w:val="26"/>
        <w:rtl/>
      </w:rPr>
      <w:t>بيان صحفي للنشر الفوري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59A7"/>
    <w:multiLevelType w:val="hybridMultilevel"/>
    <w:tmpl w:val="5B8466A6"/>
    <w:lvl w:ilvl="0" w:tplc="8D5CA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E4078"/>
    <w:rsid w:val="000219E5"/>
    <w:rsid w:val="000415DC"/>
    <w:rsid w:val="00041678"/>
    <w:rsid w:val="00041926"/>
    <w:rsid w:val="00045408"/>
    <w:rsid w:val="00064DEB"/>
    <w:rsid w:val="00073DD3"/>
    <w:rsid w:val="00096D45"/>
    <w:rsid w:val="000A08F3"/>
    <w:rsid w:val="000A51B9"/>
    <w:rsid w:val="000E1F99"/>
    <w:rsid w:val="00121B3F"/>
    <w:rsid w:val="001248BF"/>
    <w:rsid w:val="00125FAC"/>
    <w:rsid w:val="001404C7"/>
    <w:rsid w:val="00161B62"/>
    <w:rsid w:val="00161D20"/>
    <w:rsid w:val="00166770"/>
    <w:rsid w:val="001717BD"/>
    <w:rsid w:val="00172A41"/>
    <w:rsid w:val="001B2527"/>
    <w:rsid w:val="001B628B"/>
    <w:rsid w:val="001B7D67"/>
    <w:rsid w:val="001C019B"/>
    <w:rsid w:val="001C7945"/>
    <w:rsid w:val="001D1623"/>
    <w:rsid w:val="001F3027"/>
    <w:rsid w:val="002158CD"/>
    <w:rsid w:val="002167C8"/>
    <w:rsid w:val="002277F2"/>
    <w:rsid w:val="0023070B"/>
    <w:rsid w:val="002531BD"/>
    <w:rsid w:val="002632F2"/>
    <w:rsid w:val="002668B6"/>
    <w:rsid w:val="00270934"/>
    <w:rsid w:val="00285694"/>
    <w:rsid w:val="002958B0"/>
    <w:rsid w:val="002A2A61"/>
    <w:rsid w:val="002C4B39"/>
    <w:rsid w:val="002E4687"/>
    <w:rsid w:val="002E7973"/>
    <w:rsid w:val="00312A8B"/>
    <w:rsid w:val="00332147"/>
    <w:rsid w:val="00340024"/>
    <w:rsid w:val="003643DF"/>
    <w:rsid w:val="003C234A"/>
    <w:rsid w:val="003E08A4"/>
    <w:rsid w:val="003F1809"/>
    <w:rsid w:val="003F543B"/>
    <w:rsid w:val="003F74B4"/>
    <w:rsid w:val="00425ADF"/>
    <w:rsid w:val="004330F3"/>
    <w:rsid w:val="00443F80"/>
    <w:rsid w:val="00445C79"/>
    <w:rsid w:val="00446546"/>
    <w:rsid w:val="00454EEC"/>
    <w:rsid w:val="00473E66"/>
    <w:rsid w:val="00475691"/>
    <w:rsid w:val="004952C5"/>
    <w:rsid w:val="004B3DAE"/>
    <w:rsid w:val="004B67C4"/>
    <w:rsid w:val="004E1ABD"/>
    <w:rsid w:val="004E283A"/>
    <w:rsid w:val="004F0DE3"/>
    <w:rsid w:val="004F2CC6"/>
    <w:rsid w:val="00503A5A"/>
    <w:rsid w:val="00511A28"/>
    <w:rsid w:val="005549A5"/>
    <w:rsid w:val="005644AE"/>
    <w:rsid w:val="00564628"/>
    <w:rsid w:val="00571ED6"/>
    <w:rsid w:val="00581BA6"/>
    <w:rsid w:val="005C267C"/>
    <w:rsid w:val="005C28AA"/>
    <w:rsid w:val="005D6B42"/>
    <w:rsid w:val="005E515B"/>
    <w:rsid w:val="005F3A8C"/>
    <w:rsid w:val="00640C0B"/>
    <w:rsid w:val="0064782A"/>
    <w:rsid w:val="006524E0"/>
    <w:rsid w:val="006533BB"/>
    <w:rsid w:val="006757B9"/>
    <w:rsid w:val="006B51F7"/>
    <w:rsid w:val="006C0CD8"/>
    <w:rsid w:val="006D35E3"/>
    <w:rsid w:val="006E0629"/>
    <w:rsid w:val="006F11C6"/>
    <w:rsid w:val="007126E2"/>
    <w:rsid w:val="007240CC"/>
    <w:rsid w:val="007377AE"/>
    <w:rsid w:val="0075719D"/>
    <w:rsid w:val="0076049F"/>
    <w:rsid w:val="00796BC0"/>
    <w:rsid w:val="00796D1B"/>
    <w:rsid w:val="007D0BEF"/>
    <w:rsid w:val="007D7F5D"/>
    <w:rsid w:val="007F607D"/>
    <w:rsid w:val="007F6BC5"/>
    <w:rsid w:val="00801BB7"/>
    <w:rsid w:val="00815524"/>
    <w:rsid w:val="00840805"/>
    <w:rsid w:val="008608EF"/>
    <w:rsid w:val="00887799"/>
    <w:rsid w:val="008A10F2"/>
    <w:rsid w:val="008A2C26"/>
    <w:rsid w:val="008E18B1"/>
    <w:rsid w:val="008E406B"/>
    <w:rsid w:val="008E4078"/>
    <w:rsid w:val="008E4BEF"/>
    <w:rsid w:val="008F6972"/>
    <w:rsid w:val="00904959"/>
    <w:rsid w:val="009136EA"/>
    <w:rsid w:val="009151AE"/>
    <w:rsid w:val="009173F6"/>
    <w:rsid w:val="00926DA7"/>
    <w:rsid w:val="00935215"/>
    <w:rsid w:val="00936661"/>
    <w:rsid w:val="009908D4"/>
    <w:rsid w:val="00992A2A"/>
    <w:rsid w:val="009A62F4"/>
    <w:rsid w:val="009A71C8"/>
    <w:rsid w:val="009C1126"/>
    <w:rsid w:val="009F4D49"/>
    <w:rsid w:val="00A00A25"/>
    <w:rsid w:val="00A05531"/>
    <w:rsid w:val="00A23436"/>
    <w:rsid w:val="00A82D41"/>
    <w:rsid w:val="00A8581E"/>
    <w:rsid w:val="00AB14E6"/>
    <w:rsid w:val="00AE13E6"/>
    <w:rsid w:val="00AF18C4"/>
    <w:rsid w:val="00AF2A8A"/>
    <w:rsid w:val="00B21910"/>
    <w:rsid w:val="00B221E8"/>
    <w:rsid w:val="00B36ECC"/>
    <w:rsid w:val="00B406CD"/>
    <w:rsid w:val="00B40B70"/>
    <w:rsid w:val="00B6660B"/>
    <w:rsid w:val="00B80150"/>
    <w:rsid w:val="00BA7ADF"/>
    <w:rsid w:val="00BA7B87"/>
    <w:rsid w:val="00BB171B"/>
    <w:rsid w:val="00BB3003"/>
    <w:rsid w:val="00BD3EE5"/>
    <w:rsid w:val="00BE4FBA"/>
    <w:rsid w:val="00BE609B"/>
    <w:rsid w:val="00C01A51"/>
    <w:rsid w:val="00C03BED"/>
    <w:rsid w:val="00C07492"/>
    <w:rsid w:val="00C17685"/>
    <w:rsid w:val="00C2675B"/>
    <w:rsid w:val="00C31400"/>
    <w:rsid w:val="00C3300A"/>
    <w:rsid w:val="00C342A9"/>
    <w:rsid w:val="00C579BD"/>
    <w:rsid w:val="00C57D4C"/>
    <w:rsid w:val="00C77B8E"/>
    <w:rsid w:val="00CA1499"/>
    <w:rsid w:val="00CA5262"/>
    <w:rsid w:val="00CA54E6"/>
    <w:rsid w:val="00CB3E35"/>
    <w:rsid w:val="00CB4EFD"/>
    <w:rsid w:val="00CD233F"/>
    <w:rsid w:val="00CF00DF"/>
    <w:rsid w:val="00D166E1"/>
    <w:rsid w:val="00D202B0"/>
    <w:rsid w:val="00D353C4"/>
    <w:rsid w:val="00D54F1E"/>
    <w:rsid w:val="00DA63B4"/>
    <w:rsid w:val="00DE26CE"/>
    <w:rsid w:val="00DF5A27"/>
    <w:rsid w:val="00E42388"/>
    <w:rsid w:val="00E42727"/>
    <w:rsid w:val="00E45327"/>
    <w:rsid w:val="00E7379D"/>
    <w:rsid w:val="00E94971"/>
    <w:rsid w:val="00EA152D"/>
    <w:rsid w:val="00EB4846"/>
    <w:rsid w:val="00EB6A71"/>
    <w:rsid w:val="00EC20FB"/>
    <w:rsid w:val="00EC4104"/>
    <w:rsid w:val="00EE4E16"/>
    <w:rsid w:val="00F06D8F"/>
    <w:rsid w:val="00F32D65"/>
    <w:rsid w:val="00F52BC8"/>
    <w:rsid w:val="00F57F09"/>
    <w:rsid w:val="00F921FB"/>
    <w:rsid w:val="00F9632A"/>
    <w:rsid w:val="00FA420D"/>
    <w:rsid w:val="00FA4D26"/>
    <w:rsid w:val="00FC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0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54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C2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2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C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54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45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D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B6A71"/>
    <w:pPr>
      <w:bidi w:val="0"/>
      <w:jc w:val="both"/>
    </w:pPr>
    <w:rPr>
      <w:rFonts w:cs="Simplified Arabic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B6A71"/>
    <w:rPr>
      <w:rFonts w:cs="Simplified Arabic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0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9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D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x.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x.ps/PSEWEBSITE/NEWS/FS-Annual-Report-2017-Disclosure-Arabic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7A3EF-7908-4F1F-A6A7-79697605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2017-04-09T10:42:00Z</cp:lastPrinted>
  <dcterms:created xsi:type="dcterms:W3CDTF">2018-04-15T07:41:00Z</dcterms:created>
  <dcterms:modified xsi:type="dcterms:W3CDTF">2018-04-18T11:12:00Z</dcterms:modified>
</cp:coreProperties>
</file>